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0C37F6" w14:textId="77777777" w:rsidR="00232460" w:rsidRPr="00B07A63" w:rsidRDefault="00232460" w:rsidP="00B07A63">
      <w:pPr>
        <w:pStyle w:val="normal0"/>
        <w:jc w:val="center"/>
        <w:rPr>
          <w:color w:val="auto"/>
        </w:rPr>
      </w:pPr>
    </w:p>
    <w:p w14:paraId="45CBC41D" w14:textId="77777777" w:rsidR="00232460" w:rsidRPr="00B07A63" w:rsidRDefault="00B07A63" w:rsidP="00B07A63">
      <w:pPr>
        <w:jc w:val="center"/>
        <w:rPr>
          <w:rFonts w:ascii="Trebuchet MS" w:eastAsia="Times New Roman" w:hAnsi="Trebuchet MS" w:cs="Times New Roman"/>
          <w:color w:val="auto"/>
          <w:sz w:val="20"/>
          <w:szCs w:val="20"/>
        </w:rPr>
      </w:pPr>
      <w:r w:rsidRPr="00B07A63">
        <w:rPr>
          <w:rFonts w:ascii="Trebuchet MS" w:eastAsia="Trebuchet MS" w:hAnsi="Trebuchet MS" w:cs="Trebuchet MS"/>
          <w:b/>
          <w:color w:val="auto"/>
          <w:sz w:val="24"/>
          <w:szCs w:val="24"/>
        </w:rPr>
        <w:t>WRTG121: Composition II: Researching the Public Experience</w:t>
      </w:r>
      <w:r w:rsidRPr="00B07A63">
        <w:rPr>
          <w:rFonts w:ascii="Trebuchet MS" w:eastAsia="Trebuchet MS" w:hAnsi="Trebuchet MS" w:cs="Trebuchet MS"/>
          <w:color w:val="auto"/>
        </w:rPr>
        <w:br/>
        <w:t xml:space="preserve">MW, 11:00 a.m.-12:15 p.m., Room: PH414, (CRN: </w:t>
      </w:r>
      <w:r w:rsidRPr="00B07A63">
        <w:rPr>
          <w:rFonts w:ascii="Trebuchet MS" w:eastAsia="Times New Roman" w:hAnsi="Trebuchet MS" w:cs="Times New Roman"/>
          <w:color w:val="auto"/>
          <w:shd w:val="clear" w:color="auto" w:fill="FFFFFF"/>
        </w:rPr>
        <w:t>25933</w:t>
      </w:r>
      <w:r w:rsidRPr="00B07A63">
        <w:rPr>
          <w:rFonts w:ascii="Trebuchet MS" w:eastAsia="Trebuchet MS" w:hAnsi="Trebuchet MS" w:cs="Trebuchet MS"/>
          <w:color w:val="auto"/>
        </w:rPr>
        <w:t>)</w:t>
      </w:r>
    </w:p>
    <w:p w14:paraId="352F6E05" w14:textId="77777777" w:rsidR="00232460" w:rsidRPr="00B07A63" w:rsidRDefault="00232460">
      <w:pPr>
        <w:pStyle w:val="normal0"/>
        <w:rPr>
          <w:rFonts w:ascii="Trebuchet MS" w:hAnsi="Trebuchet MS"/>
          <w:color w:val="auto"/>
        </w:rPr>
      </w:pPr>
    </w:p>
    <w:p w14:paraId="779C755A" w14:textId="77777777" w:rsidR="00232460" w:rsidRPr="00B07A63" w:rsidRDefault="00B07A63">
      <w:pPr>
        <w:pStyle w:val="normal0"/>
        <w:rPr>
          <w:color w:val="auto"/>
        </w:rPr>
      </w:pPr>
      <w:r w:rsidRPr="00B07A63">
        <w:rPr>
          <w:rFonts w:ascii="Trebuchet MS" w:eastAsia="Trebuchet MS" w:hAnsi="Trebuchet MS" w:cs="Trebuchet MS"/>
          <w:color w:val="auto"/>
        </w:rPr>
        <w:t>Instructor: Brianne Radke</w:t>
      </w:r>
    </w:p>
    <w:p w14:paraId="484EFF19" w14:textId="298BB7A7" w:rsidR="00232460" w:rsidRPr="00B07A63" w:rsidRDefault="00B07A63">
      <w:pPr>
        <w:pStyle w:val="normal0"/>
        <w:rPr>
          <w:color w:val="auto"/>
        </w:rPr>
      </w:pPr>
      <w:r w:rsidRPr="00B07A63">
        <w:rPr>
          <w:rFonts w:ascii="Trebuchet MS" w:eastAsia="Trebuchet MS" w:hAnsi="Trebuchet MS" w:cs="Trebuchet MS"/>
          <w:color w:val="auto"/>
        </w:rPr>
        <w:t>Email:</w:t>
      </w:r>
      <w:r w:rsidR="00BF17EB">
        <w:rPr>
          <w:rFonts w:ascii="Trebuchet MS" w:eastAsia="Trebuchet MS" w:hAnsi="Trebuchet MS" w:cs="Trebuchet MS"/>
          <w:color w:val="auto"/>
        </w:rPr>
        <w:t xml:space="preserve"> </w:t>
      </w:r>
      <w:r w:rsidRPr="00B07A63">
        <w:rPr>
          <w:rFonts w:ascii="Trebuchet MS" w:eastAsia="Trebuchet MS" w:hAnsi="Trebuchet MS" w:cs="Trebuchet MS"/>
          <w:color w:val="auto"/>
        </w:rPr>
        <w:t>bradke@emich.edu</w:t>
      </w:r>
    </w:p>
    <w:p w14:paraId="199D303C" w14:textId="77777777" w:rsidR="00232460" w:rsidRPr="00B07A63" w:rsidRDefault="00B07A63">
      <w:pPr>
        <w:pStyle w:val="normal0"/>
        <w:rPr>
          <w:color w:val="auto"/>
        </w:rPr>
      </w:pPr>
      <w:r w:rsidRPr="00B07A63">
        <w:rPr>
          <w:rFonts w:ascii="Trebuchet MS" w:eastAsia="Trebuchet MS" w:hAnsi="Trebuchet MS" w:cs="Trebuchet MS"/>
          <w:color w:val="auto"/>
        </w:rPr>
        <w:t>Office: PH 613</w:t>
      </w:r>
    </w:p>
    <w:p w14:paraId="3E503295" w14:textId="77777777" w:rsidR="00232460" w:rsidRPr="00B07A63" w:rsidRDefault="00B07A63">
      <w:pPr>
        <w:pStyle w:val="normal0"/>
        <w:rPr>
          <w:color w:val="auto"/>
        </w:rPr>
      </w:pPr>
      <w:r w:rsidRPr="00B07A63">
        <w:rPr>
          <w:rFonts w:ascii="Trebuchet MS" w:eastAsia="Trebuchet MS" w:hAnsi="Trebuchet MS" w:cs="Trebuchet MS"/>
          <w:color w:val="auto"/>
        </w:rPr>
        <w:t>Office Hours: MW 9:45 – 10:45 a.m.</w:t>
      </w:r>
    </w:p>
    <w:p w14:paraId="25B14E3B" w14:textId="77777777" w:rsidR="00232460" w:rsidRPr="00B07A63" w:rsidRDefault="00232460">
      <w:pPr>
        <w:pStyle w:val="normal0"/>
        <w:rPr>
          <w:color w:val="auto"/>
        </w:rPr>
      </w:pPr>
    </w:p>
    <w:p w14:paraId="1E12E795" w14:textId="77777777" w:rsidR="00232460" w:rsidRPr="00B07A63" w:rsidRDefault="00B07A63">
      <w:pPr>
        <w:pStyle w:val="normal0"/>
        <w:rPr>
          <w:color w:val="auto"/>
        </w:rPr>
      </w:pPr>
      <w:r w:rsidRPr="00B07A63">
        <w:rPr>
          <w:rFonts w:ascii="Trebuchet MS" w:eastAsia="Trebuchet MS" w:hAnsi="Trebuchet MS" w:cs="Trebuchet MS"/>
          <w:color w:val="auto"/>
        </w:rPr>
        <w:t>This course is part of the General Education Program: Area I: Effective Communication</w:t>
      </w:r>
    </w:p>
    <w:p w14:paraId="564AF0CE" w14:textId="77777777" w:rsidR="00232460" w:rsidRDefault="00232460">
      <w:pPr>
        <w:pStyle w:val="normal0"/>
      </w:pPr>
    </w:p>
    <w:p w14:paraId="1404F916" w14:textId="77777777" w:rsidR="00232460" w:rsidRDefault="00B07A63">
      <w:pPr>
        <w:pStyle w:val="normal0"/>
      </w:pPr>
      <w:r>
        <w:rPr>
          <w:rFonts w:ascii="Trebuchet MS" w:eastAsia="Trebuchet MS" w:hAnsi="Trebuchet MS" w:cs="Trebuchet MS"/>
        </w:rPr>
        <w:t xml:space="preserve">In WRTG121, EMU students develop the foundation for writing, research and critical thinking strategies that they will use throughout their college careers and in the workplace. Writings </w:t>
      </w:r>
      <w:proofErr w:type="gramStart"/>
      <w:r>
        <w:rPr>
          <w:rFonts w:ascii="Trebuchet MS" w:eastAsia="Trebuchet MS" w:hAnsi="Trebuchet MS" w:cs="Trebuchet MS"/>
        </w:rPr>
        <w:t>is</w:t>
      </w:r>
      <w:proofErr w:type="gramEnd"/>
      <w:r>
        <w:rPr>
          <w:rFonts w:ascii="Trebuchet MS" w:eastAsia="Trebuchet MS" w:hAnsi="Trebuchet MS" w:cs="Trebuchet MS"/>
        </w:rPr>
        <w:t xml:space="preserve"> both a means of communication and a tool for developing new ideas. Good writers are flexible.  They know how to assess the expectations of a variety of audiences with whom they want to communicate and how to draw on or develop different strategies to meet those expectations. Good writers also understand that different kinds of writing have different conventions and they can move fluidly between those conventions. WRTG121 students develop these strategies that are key to effective communication throughout the course. Students write between 50-70 pages of draft work and between 20-30 pages of polished, final-draft work during the course of the semester, and that work is supported and directed by frequent feedback from the instructor.</w:t>
      </w:r>
    </w:p>
    <w:p w14:paraId="1DD48A33" w14:textId="77777777" w:rsidR="00232460" w:rsidRDefault="00232460">
      <w:pPr>
        <w:pStyle w:val="normal0"/>
        <w:rPr>
          <w:color w:val="auto"/>
        </w:rPr>
      </w:pPr>
    </w:p>
    <w:p w14:paraId="73D30B9C" w14:textId="77777777" w:rsidR="00C5376F" w:rsidRPr="00B07A63" w:rsidRDefault="00C5376F">
      <w:pPr>
        <w:pStyle w:val="normal0"/>
        <w:rPr>
          <w:color w:val="auto"/>
        </w:rPr>
      </w:pPr>
    </w:p>
    <w:p w14:paraId="7DC68BC2" w14:textId="77777777" w:rsidR="00232460" w:rsidRPr="00B07A63" w:rsidRDefault="00B07A63">
      <w:pPr>
        <w:pStyle w:val="normal0"/>
        <w:rPr>
          <w:color w:val="auto"/>
        </w:rPr>
      </w:pPr>
      <w:r w:rsidRPr="00B07A63">
        <w:rPr>
          <w:rFonts w:ascii="Trebuchet MS" w:eastAsia="Trebuchet MS" w:hAnsi="Trebuchet MS" w:cs="Trebuchet MS"/>
          <w:b/>
          <w:color w:val="auto"/>
        </w:rPr>
        <w:t>Course Description</w:t>
      </w:r>
      <w:r w:rsidRPr="00B07A63">
        <w:rPr>
          <w:rFonts w:ascii="Trebuchet MS" w:eastAsia="Trebuchet MS" w:hAnsi="Trebuchet MS" w:cs="Trebuchet MS"/>
          <w:color w:val="auto"/>
        </w:rPr>
        <w:br/>
        <w:t>Focuses on academic writing and inquiry. Students use multiple modes of research to develop literacy used in academic and other public contexts. Through extended reading and writing, students engage in the process of writing researched essays that reflect conventions of standard written English and standard documentation styles.</w:t>
      </w:r>
    </w:p>
    <w:p w14:paraId="44EC8B63" w14:textId="77777777" w:rsidR="00232460" w:rsidRDefault="00232460">
      <w:pPr>
        <w:pStyle w:val="normal0"/>
      </w:pPr>
    </w:p>
    <w:p w14:paraId="02716306" w14:textId="77777777" w:rsidR="00C5376F" w:rsidRDefault="00C5376F">
      <w:pPr>
        <w:pStyle w:val="normal0"/>
      </w:pPr>
    </w:p>
    <w:p w14:paraId="41AC1CD2" w14:textId="77777777" w:rsidR="00232460" w:rsidRDefault="00B07A63">
      <w:pPr>
        <w:pStyle w:val="normal0"/>
      </w:pPr>
      <w:r>
        <w:rPr>
          <w:rFonts w:ascii="Trebuchet MS" w:eastAsia="Trebuchet MS" w:hAnsi="Trebuchet MS" w:cs="Trebuchet MS"/>
          <w:b/>
        </w:rPr>
        <w:t>Course Overview</w:t>
      </w:r>
    </w:p>
    <w:p w14:paraId="02DA858D" w14:textId="77777777" w:rsidR="00232460" w:rsidRDefault="00B07A63">
      <w:pPr>
        <w:pStyle w:val="normal0"/>
      </w:pPr>
      <w:r>
        <w:rPr>
          <w:rFonts w:ascii="Trebuchet MS" w:eastAsia="Trebuchet MS" w:hAnsi="Trebuchet MS" w:cs="Trebuchet MS"/>
        </w:rPr>
        <w:t xml:space="preserve">Welcome to WRTG121! This semester you will gain grounded, practical experience with researched academic writing. The primary subject of the course is </w:t>
      </w:r>
      <w:r>
        <w:rPr>
          <w:rFonts w:ascii="Trebuchet MS" w:eastAsia="Trebuchet MS" w:hAnsi="Trebuchet MS" w:cs="Trebuchet MS"/>
          <w:i/>
        </w:rPr>
        <w:t>writing</w:t>
      </w:r>
      <w:r>
        <w:rPr>
          <w:rFonts w:ascii="Trebuchet MS" w:eastAsia="Trebuchet MS" w:hAnsi="Trebuchet MS" w:cs="Trebuchet MS"/>
        </w:rPr>
        <w:t xml:space="preserve">: how effective writers write in all variety of situations, in and beyond college, what successful writing looks like, and how specific practices, strategies, and concepts will aid you in becoming a more flexible, adaptive, and skillful communicator. WRTG121 is a small, studio-based course, which means you will spend considerable time writing, </w:t>
      </w:r>
      <w:proofErr w:type="spellStart"/>
      <w:r>
        <w:rPr>
          <w:rFonts w:ascii="Trebuchet MS" w:eastAsia="Trebuchet MS" w:hAnsi="Trebuchet MS" w:cs="Trebuchet MS"/>
        </w:rPr>
        <w:t>workshopping</w:t>
      </w:r>
      <w:proofErr w:type="spellEnd"/>
      <w:r>
        <w:rPr>
          <w:rFonts w:ascii="Trebuchet MS" w:eastAsia="Trebuchet MS" w:hAnsi="Trebuchet MS" w:cs="Trebuchet MS"/>
        </w:rPr>
        <w:t xml:space="preserve"> drafts, and discussing writing and related concepts with your peers and your instructor. The course progresses through a series of “projects.” We refer to them as projects because they involve a gradual build-up among many different components, much of which will be assembled into a portfolio at the end of the semester.</w:t>
      </w:r>
    </w:p>
    <w:p w14:paraId="14421CDC" w14:textId="77777777" w:rsidR="00232460" w:rsidRDefault="00232460">
      <w:pPr>
        <w:pStyle w:val="normal0"/>
      </w:pPr>
    </w:p>
    <w:p w14:paraId="3D68AD74" w14:textId="77777777" w:rsidR="00C5376F" w:rsidRDefault="00C5376F">
      <w:pPr>
        <w:pStyle w:val="normal0"/>
      </w:pPr>
    </w:p>
    <w:p w14:paraId="52F0A0B0" w14:textId="12D8C512" w:rsidR="00C5376F" w:rsidRPr="00C5376F" w:rsidRDefault="00C5376F" w:rsidP="005201A4">
      <w:pPr>
        <w:pStyle w:val="normal0"/>
        <w:rPr>
          <w:b/>
          <w:sz w:val="28"/>
        </w:rPr>
      </w:pPr>
      <w:r w:rsidRPr="00C5376F">
        <w:rPr>
          <w:b/>
          <w:sz w:val="28"/>
        </w:rPr>
        <w:lastRenderedPageBreak/>
        <w:t>Major Projects (each must be completed for student to be eligible for passing status in WRTG 121)</w:t>
      </w:r>
    </w:p>
    <w:p w14:paraId="210D106B" w14:textId="77777777" w:rsidR="00C5376F" w:rsidRDefault="00C5376F" w:rsidP="005201A4">
      <w:pPr>
        <w:pStyle w:val="normal0"/>
        <w:rPr>
          <w:b/>
        </w:rPr>
      </w:pPr>
    </w:p>
    <w:p w14:paraId="4705CB7B" w14:textId="77777777" w:rsidR="00C5376F" w:rsidRDefault="005201A4" w:rsidP="005201A4">
      <w:pPr>
        <w:pStyle w:val="normal0"/>
        <w:rPr>
          <w:sz w:val="24"/>
        </w:rPr>
      </w:pPr>
      <w:r w:rsidRPr="00C5376F">
        <w:rPr>
          <w:b/>
          <w:sz w:val="24"/>
        </w:rPr>
        <w:t>Project 1.</w:t>
      </w:r>
      <w:r w:rsidRPr="00C5376F">
        <w:rPr>
          <w:sz w:val="24"/>
        </w:rPr>
        <w:t xml:space="preserve"> </w:t>
      </w:r>
      <w:proofErr w:type="spellStart"/>
      <w:r w:rsidRPr="00C5376F">
        <w:rPr>
          <w:b/>
          <w:sz w:val="24"/>
        </w:rPr>
        <w:t>Worknets</w:t>
      </w:r>
      <w:proofErr w:type="spellEnd"/>
      <w:r w:rsidRPr="00C5376F">
        <w:rPr>
          <w:b/>
          <w:sz w:val="24"/>
        </w:rPr>
        <w:t>.</w:t>
      </w:r>
      <w:r w:rsidRPr="00C5376F">
        <w:rPr>
          <w:sz w:val="24"/>
        </w:rPr>
        <w:t xml:space="preserve"> </w:t>
      </w:r>
    </w:p>
    <w:p w14:paraId="0DFA2743" w14:textId="1712AE74" w:rsidR="00844DC6" w:rsidRDefault="005201A4" w:rsidP="005201A4">
      <w:pPr>
        <w:pStyle w:val="normal0"/>
      </w:pPr>
      <w:r w:rsidRPr="005201A4">
        <w:t xml:space="preserve">Working from a single source, this project focuses on developing an “exploded view” of the source by mapping (with links and nodes) four aspects of the article: </w:t>
      </w:r>
    </w:p>
    <w:p w14:paraId="42BB51B0" w14:textId="77777777" w:rsidR="00C5376F" w:rsidRDefault="00C5376F" w:rsidP="005201A4">
      <w:pPr>
        <w:pStyle w:val="normal0"/>
      </w:pPr>
    </w:p>
    <w:p w14:paraId="211847AF" w14:textId="7011457A" w:rsidR="00844DC6" w:rsidRDefault="005201A4" w:rsidP="005201A4">
      <w:pPr>
        <w:pStyle w:val="normal0"/>
      </w:pPr>
      <w:r w:rsidRPr="005201A4">
        <w:t xml:space="preserve">1) </w:t>
      </w:r>
      <w:proofErr w:type="gramStart"/>
      <w:r w:rsidRPr="005201A4">
        <w:t>semantic</w:t>
      </w:r>
      <w:proofErr w:type="gramEnd"/>
      <w:r w:rsidRPr="005201A4">
        <w:t xml:space="preserve"> </w:t>
      </w:r>
      <w:proofErr w:type="spellStart"/>
      <w:r w:rsidRPr="005201A4">
        <w:t>worknet</w:t>
      </w:r>
      <w:proofErr w:type="spellEnd"/>
      <w:r w:rsidRPr="005201A4">
        <w:t xml:space="preserve"> (fo</w:t>
      </w:r>
      <w:r w:rsidR="00844DC6">
        <w:t>cuses on key words and phrases</w:t>
      </w:r>
      <w:r w:rsidR="00BF17EB">
        <w:t>)</w:t>
      </w:r>
    </w:p>
    <w:p w14:paraId="3D7FEB8E" w14:textId="77777777" w:rsidR="00844DC6" w:rsidRDefault="005201A4" w:rsidP="005201A4">
      <w:pPr>
        <w:pStyle w:val="normal0"/>
      </w:pPr>
      <w:r w:rsidRPr="005201A4">
        <w:t xml:space="preserve">2) </w:t>
      </w:r>
      <w:proofErr w:type="gramStart"/>
      <w:r w:rsidRPr="005201A4">
        <w:t>bibliographic</w:t>
      </w:r>
      <w:proofErr w:type="gramEnd"/>
      <w:r w:rsidRPr="005201A4">
        <w:t xml:space="preserve"> </w:t>
      </w:r>
      <w:proofErr w:type="spellStart"/>
      <w:r w:rsidRPr="005201A4">
        <w:t>w</w:t>
      </w:r>
      <w:r w:rsidR="00844DC6">
        <w:t>orknet</w:t>
      </w:r>
      <w:proofErr w:type="spellEnd"/>
      <w:r w:rsidR="00844DC6">
        <w:t xml:space="preserve"> (focuses on references)</w:t>
      </w:r>
    </w:p>
    <w:p w14:paraId="698847D1" w14:textId="77777777" w:rsidR="00844DC6" w:rsidRDefault="005201A4" w:rsidP="005201A4">
      <w:pPr>
        <w:pStyle w:val="normal0"/>
      </w:pPr>
      <w:r w:rsidRPr="005201A4">
        <w:t xml:space="preserve">3) </w:t>
      </w:r>
      <w:proofErr w:type="gramStart"/>
      <w:r w:rsidRPr="005201A4">
        <w:t>affinity</w:t>
      </w:r>
      <w:proofErr w:type="gramEnd"/>
      <w:r w:rsidRPr="005201A4">
        <w:t xml:space="preserve"> </w:t>
      </w:r>
      <w:proofErr w:type="spellStart"/>
      <w:r w:rsidRPr="005201A4">
        <w:t>worknet</w:t>
      </w:r>
      <w:proofErr w:type="spellEnd"/>
      <w:r w:rsidRPr="005201A4">
        <w:t xml:space="preserve"> (focuses on authorship influences, career, and c</w:t>
      </w:r>
      <w:r w:rsidR="00844DC6">
        <w:t>ollaborators)</w:t>
      </w:r>
    </w:p>
    <w:p w14:paraId="7B02635D" w14:textId="3D48861C" w:rsidR="00844DC6" w:rsidRDefault="005201A4" w:rsidP="005201A4">
      <w:pPr>
        <w:pStyle w:val="normal0"/>
      </w:pPr>
      <w:r w:rsidRPr="005201A4">
        <w:t xml:space="preserve">4) </w:t>
      </w:r>
      <w:proofErr w:type="gramStart"/>
      <w:r w:rsidRPr="005201A4">
        <w:t>choral</w:t>
      </w:r>
      <w:proofErr w:type="gramEnd"/>
      <w:r w:rsidRPr="005201A4">
        <w:t xml:space="preserve"> </w:t>
      </w:r>
      <w:proofErr w:type="spellStart"/>
      <w:r w:rsidRPr="005201A4">
        <w:t>worknet</w:t>
      </w:r>
      <w:proofErr w:type="spellEnd"/>
      <w:r w:rsidRPr="005201A4">
        <w:t xml:space="preserve"> (focuses on time-place happenings coinciding with the place and time the article was produced; also keys on juxtaposition and unc</w:t>
      </w:r>
      <w:r w:rsidR="00C5376F">
        <w:t>anny pop culture associations)</w:t>
      </w:r>
    </w:p>
    <w:p w14:paraId="66E01312" w14:textId="77777777" w:rsidR="00C5376F" w:rsidRDefault="00C5376F" w:rsidP="005201A4">
      <w:pPr>
        <w:pStyle w:val="normal0"/>
      </w:pPr>
    </w:p>
    <w:p w14:paraId="6B57C590" w14:textId="25AAD109" w:rsidR="005201A4" w:rsidRDefault="005201A4" w:rsidP="005201A4">
      <w:pPr>
        <w:pStyle w:val="normal0"/>
      </w:pPr>
      <w:r w:rsidRPr="005201A4">
        <w:t xml:space="preserve">The </w:t>
      </w:r>
      <w:proofErr w:type="gramStart"/>
      <w:r w:rsidRPr="005201A4">
        <w:t xml:space="preserve">purpose of the </w:t>
      </w:r>
      <w:proofErr w:type="spellStart"/>
      <w:r w:rsidRPr="005201A4">
        <w:t>worknets</w:t>
      </w:r>
      <w:proofErr w:type="spellEnd"/>
      <w:r w:rsidRPr="005201A4">
        <w:t xml:space="preserve"> are</w:t>
      </w:r>
      <w:proofErr w:type="gramEnd"/>
      <w:r w:rsidRPr="005201A4">
        <w:t xml:space="preserve"> to follow the article’s leads as inventive extensions, not to begin with an over-defined, narrow question. Thus, it is exploratory more than restrictive.</w:t>
      </w:r>
    </w:p>
    <w:p w14:paraId="14AEEF9C" w14:textId="77777777" w:rsidR="005201A4" w:rsidRDefault="005201A4" w:rsidP="005201A4">
      <w:pPr>
        <w:pStyle w:val="normal0"/>
      </w:pPr>
    </w:p>
    <w:p w14:paraId="224DC195" w14:textId="77777777" w:rsidR="00C5376F" w:rsidRDefault="00C5376F" w:rsidP="005201A4">
      <w:pPr>
        <w:pStyle w:val="normal0"/>
      </w:pPr>
    </w:p>
    <w:p w14:paraId="7058DBFF" w14:textId="77777777" w:rsidR="00C5376F" w:rsidRDefault="00844DC6" w:rsidP="00844DC6">
      <w:pPr>
        <w:pStyle w:val="normal0"/>
        <w:rPr>
          <w:sz w:val="24"/>
        </w:rPr>
      </w:pPr>
      <w:r w:rsidRPr="00C5376F">
        <w:rPr>
          <w:b/>
          <w:sz w:val="24"/>
        </w:rPr>
        <w:t>Project 2. Controversy Mapping.</w:t>
      </w:r>
      <w:r w:rsidRPr="00C5376F">
        <w:rPr>
          <w:sz w:val="24"/>
        </w:rPr>
        <w:t xml:space="preserve"> </w:t>
      </w:r>
    </w:p>
    <w:p w14:paraId="641A85D7" w14:textId="1BFCA9AB" w:rsidR="00844DC6" w:rsidRPr="00844DC6" w:rsidRDefault="00844DC6" w:rsidP="00844DC6">
      <w:pPr>
        <w:pStyle w:val="normal0"/>
      </w:pPr>
      <w:r w:rsidRPr="00844DC6">
        <w:t>You will create a</w:t>
      </w:r>
      <w:r w:rsidR="006204AE">
        <w:t>n objective</w:t>
      </w:r>
      <w:r w:rsidRPr="00844DC6">
        <w:t xml:space="preserve"> visual map</w:t>
      </w:r>
      <w:r>
        <w:t xml:space="preserve"> and written account</w:t>
      </w:r>
      <w:r w:rsidRPr="00844DC6">
        <w:t xml:space="preserve"> of </w:t>
      </w:r>
      <w:r>
        <w:t>a chosen</w:t>
      </w:r>
      <w:r w:rsidRPr="00844DC6">
        <w:t xml:space="preserve"> controversy where you identify:</w:t>
      </w:r>
    </w:p>
    <w:p w14:paraId="688D64D1" w14:textId="77777777" w:rsidR="00844DC6" w:rsidRPr="00844DC6" w:rsidRDefault="00844DC6" w:rsidP="00844DC6">
      <w:pPr>
        <w:pStyle w:val="normal0"/>
        <w:numPr>
          <w:ilvl w:val="0"/>
          <w:numId w:val="1"/>
        </w:numPr>
      </w:pPr>
      <w:r w:rsidRPr="00844DC6">
        <w:t>The controversy and the issues surrounding it</w:t>
      </w:r>
    </w:p>
    <w:p w14:paraId="13618C5B" w14:textId="77777777" w:rsidR="00844DC6" w:rsidRPr="00844DC6" w:rsidRDefault="00844DC6" w:rsidP="00844DC6">
      <w:pPr>
        <w:pStyle w:val="normal0"/>
        <w:numPr>
          <w:ilvl w:val="0"/>
          <w:numId w:val="1"/>
        </w:numPr>
      </w:pPr>
      <w:r w:rsidRPr="00844DC6">
        <w:t>The major players (sources) of each issue and their beliefs and/or ideologies</w:t>
      </w:r>
    </w:p>
    <w:p w14:paraId="20523E27" w14:textId="77777777" w:rsidR="00844DC6" w:rsidRPr="00844DC6" w:rsidRDefault="00844DC6" w:rsidP="00844DC6">
      <w:pPr>
        <w:pStyle w:val="normal0"/>
        <w:numPr>
          <w:ilvl w:val="0"/>
          <w:numId w:val="1"/>
        </w:numPr>
      </w:pPr>
      <w:r w:rsidRPr="00844DC6">
        <w:t>How the controversy is represented in the sources you’ve found</w:t>
      </w:r>
    </w:p>
    <w:p w14:paraId="0E270F66" w14:textId="77777777" w:rsidR="00844DC6" w:rsidRPr="00844DC6" w:rsidRDefault="00844DC6" w:rsidP="00844DC6">
      <w:pPr>
        <w:pStyle w:val="normal0"/>
        <w:numPr>
          <w:ilvl w:val="0"/>
          <w:numId w:val="1"/>
        </w:numPr>
      </w:pPr>
      <w:r w:rsidRPr="00844DC6">
        <w:t>Whether or not anything overlaps</w:t>
      </w:r>
    </w:p>
    <w:p w14:paraId="610CCEA2" w14:textId="61EB750B" w:rsidR="00844DC6" w:rsidRDefault="00844DC6" w:rsidP="005201A4">
      <w:pPr>
        <w:pStyle w:val="normal0"/>
      </w:pPr>
    </w:p>
    <w:p w14:paraId="1C0829B4" w14:textId="77777777" w:rsidR="00C5376F" w:rsidRDefault="00C5376F" w:rsidP="005201A4">
      <w:pPr>
        <w:pStyle w:val="normal0"/>
      </w:pPr>
    </w:p>
    <w:p w14:paraId="5CC9C70D" w14:textId="77777777" w:rsidR="00C5376F" w:rsidRDefault="00844DC6" w:rsidP="006204AE">
      <w:pPr>
        <w:pStyle w:val="normal0"/>
        <w:rPr>
          <w:sz w:val="24"/>
        </w:rPr>
      </w:pPr>
      <w:r w:rsidRPr="00C5376F">
        <w:rPr>
          <w:b/>
          <w:sz w:val="24"/>
        </w:rPr>
        <w:t xml:space="preserve">Project 3. Inquiry-based </w:t>
      </w:r>
      <w:r w:rsidR="006204AE" w:rsidRPr="00C5376F">
        <w:rPr>
          <w:b/>
          <w:sz w:val="24"/>
        </w:rPr>
        <w:t xml:space="preserve">Research </w:t>
      </w:r>
      <w:r w:rsidR="00875959" w:rsidRPr="00C5376F">
        <w:rPr>
          <w:b/>
          <w:sz w:val="24"/>
        </w:rPr>
        <w:t>Article</w:t>
      </w:r>
      <w:r w:rsidR="006204AE" w:rsidRPr="00C5376F">
        <w:rPr>
          <w:b/>
          <w:sz w:val="24"/>
        </w:rPr>
        <w:t>.</w:t>
      </w:r>
      <w:r w:rsidR="006204AE" w:rsidRPr="00C5376F">
        <w:rPr>
          <w:sz w:val="24"/>
        </w:rPr>
        <w:t xml:space="preserve"> </w:t>
      </w:r>
    </w:p>
    <w:p w14:paraId="693AEDA2" w14:textId="43E62CFE" w:rsidR="006204AE" w:rsidRDefault="006204AE" w:rsidP="006204AE">
      <w:pPr>
        <w:pStyle w:val="normal0"/>
      </w:pPr>
      <w:r>
        <w:t xml:space="preserve">You will </w:t>
      </w:r>
      <w:r w:rsidRPr="006204AE">
        <w:t>demonstrat</w:t>
      </w:r>
      <w:r>
        <w:t>e</w:t>
      </w:r>
      <w:r w:rsidRPr="006204AE">
        <w:t xml:space="preserve"> sustained inquiry into a topic, question, problem, or controversy. The project may be framed as an argument or something less explicitly claim-based, but it should introduce a problem, question, or controversy; account for the contemporary conversation related to the project’s focus; and feature evidence from </w:t>
      </w:r>
      <w:r w:rsidRPr="006204AE">
        <w:rPr>
          <w:i/>
          <w:iCs/>
        </w:rPr>
        <w:t>at least</w:t>
      </w:r>
      <w:r w:rsidRPr="006204AE">
        <w:t xml:space="preserve"> two of the following (framed as methods): </w:t>
      </w:r>
      <w:r w:rsidRPr="006204AE">
        <w:rPr>
          <w:bCs/>
        </w:rPr>
        <w:t>memory work, word work, interview, site work, source work, or data work</w:t>
      </w:r>
      <w:r w:rsidRPr="006204AE">
        <w:t>.</w:t>
      </w:r>
    </w:p>
    <w:p w14:paraId="37022327" w14:textId="77777777" w:rsidR="006204AE" w:rsidRDefault="006204AE" w:rsidP="006204AE">
      <w:pPr>
        <w:pStyle w:val="normal0"/>
      </w:pPr>
    </w:p>
    <w:p w14:paraId="00349731" w14:textId="77777777" w:rsidR="00C5376F" w:rsidRDefault="00C5376F" w:rsidP="006204AE">
      <w:pPr>
        <w:pStyle w:val="normal0"/>
      </w:pPr>
    </w:p>
    <w:p w14:paraId="429AABF3" w14:textId="77777777" w:rsidR="00C5376F" w:rsidRDefault="006204AE" w:rsidP="005201A4">
      <w:pPr>
        <w:pStyle w:val="normal0"/>
        <w:rPr>
          <w:b/>
          <w:sz w:val="24"/>
        </w:rPr>
      </w:pPr>
      <w:r w:rsidRPr="00C5376F">
        <w:rPr>
          <w:b/>
          <w:sz w:val="24"/>
        </w:rPr>
        <w:t xml:space="preserve">Project 4. </w:t>
      </w:r>
      <w:proofErr w:type="gramStart"/>
      <w:r w:rsidRPr="00C5376F">
        <w:rPr>
          <w:b/>
          <w:sz w:val="24"/>
        </w:rPr>
        <w:t xml:space="preserve">CSW Presentation – </w:t>
      </w:r>
      <w:r w:rsidR="00C5376F" w:rsidRPr="00C5376F">
        <w:rPr>
          <w:b/>
          <w:sz w:val="24"/>
        </w:rPr>
        <w:t>Choreographic Writing</w:t>
      </w:r>
      <w:r w:rsidRPr="00C5376F">
        <w:rPr>
          <w:b/>
          <w:sz w:val="24"/>
        </w:rPr>
        <w:t>.</w:t>
      </w:r>
      <w:proofErr w:type="gramEnd"/>
      <w:r w:rsidRPr="00C5376F">
        <w:rPr>
          <w:b/>
          <w:sz w:val="24"/>
        </w:rPr>
        <w:t xml:space="preserve"> </w:t>
      </w:r>
    </w:p>
    <w:p w14:paraId="162AF217" w14:textId="42C3636B" w:rsidR="005201A4" w:rsidRPr="005201A4" w:rsidRDefault="006204AE" w:rsidP="005201A4">
      <w:pPr>
        <w:pStyle w:val="normal0"/>
      </w:pPr>
      <w:r>
        <w:t xml:space="preserve">Working within </w:t>
      </w:r>
      <w:r w:rsidR="00C5376F">
        <w:t>the embodied writing</w:t>
      </w:r>
      <w:r>
        <w:t xml:space="preserve"> genre conventions, you will transform your research to be </w:t>
      </w:r>
      <w:r w:rsidR="00C5376F">
        <w:t xml:space="preserve">disseminated </w:t>
      </w:r>
      <w:r>
        <w:t>at the Celebration of Student Writing on April 4.</w:t>
      </w:r>
    </w:p>
    <w:p w14:paraId="5EB19552" w14:textId="77777777" w:rsidR="00232460" w:rsidRDefault="00232460">
      <w:pPr>
        <w:pStyle w:val="normal0"/>
      </w:pPr>
    </w:p>
    <w:p w14:paraId="7C98DA23" w14:textId="77777777" w:rsidR="00C5376F" w:rsidRDefault="00C5376F">
      <w:pPr>
        <w:pStyle w:val="normal0"/>
      </w:pPr>
    </w:p>
    <w:p w14:paraId="0EF5586C" w14:textId="77777777" w:rsidR="00C5376F" w:rsidRDefault="00C5376F">
      <w:pPr>
        <w:pStyle w:val="normal0"/>
      </w:pPr>
    </w:p>
    <w:p w14:paraId="754DD1B7" w14:textId="77777777" w:rsidR="00C5376F" w:rsidRDefault="00C5376F">
      <w:pPr>
        <w:pStyle w:val="normal0"/>
      </w:pPr>
    </w:p>
    <w:p w14:paraId="4573594F" w14:textId="77777777" w:rsidR="00C5376F" w:rsidRDefault="00C5376F">
      <w:pPr>
        <w:pStyle w:val="normal0"/>
      </w:pPr>
    </w:p>
    <w:p w14:paraId="0D3B9A49" w14:textId="77777777" w:rsidR="00C5376F" w:rsidRDefault="00C5376F">
      <w:pPr>
        <w:pStyle w:val="normal0"/>
      </w:pPr>
    </w:p>
    <w:p w14:paraId="5DBA5077" w14:textId="77777777" w:rsidR="00232460" w:rsidRPr="00B07A63" w:rsidRDefault="00B07A63">
      <w:pPr>
        <w:pStyle w:val="normal0"/>
        <w:rPr>
          <w:color w:val="auto"/>
        </w:rPr>
      </w:pPr>
      <w:r w:rsidRPr="00B07A63">
        <w:rPr>
          <w:rFonts w:ascii="Trebuchet MS" w:eastAsia="Trebuchet MS" w:hAnsi="Trebuchet MS" w:cs="Trebuchet MS"/>
          <w:b/>
          <w:color w:val="auto"/>
        </w:rPr>
        <w:lastRenderedPageBreak/>
        <w:t>Course Outcomes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229"/>
        <w:gridCol w:w="6131"/>
      </w:tblGrid>
      <w:tr w:rsidR="00232460" w:rsidRPr="00B07A63" w14:paraId="563ADAC8" w14:textId="77777777">
        <w:tc>
          <w:tcPr>
            <w:tcW w:w="3229" w:type="dxa"/>
            <w:tcBorders>
              <w:top w:val="single" w:sz="6" w:space="0" w:color="999999"/>
              <w:left w:val="single" w:sz="6" w:space="0" w:color="999999"/>
              <w:bottom w:val="single" w:sz="6" w:space="0" w:color="999999"/>
              <w:right w:val="single" w:sz="6" w:space="0" w:color="999999"/>
            </w:tcBorders>
            <w:tcMar>
              <w:top w:w="40" w:type="dxa"/>
              <w:left w:w="120" w:type="dxa"/>
              <w:bottom w:w="40" w:type="dxa"/>
              <w:right w:w="120" w:type="dxa"/>
            </w:tcMar>
          </w:tcPr>
          <w:p w14:paraId="4FADD1BA" w14:textId="77777777" w:rsidR="00232460" w:rsidRPr="00C5376F" w:rsidRDefault="00B07A63">
            <w:pPr>
              <w:pStyle w:val="normal0"/>
              <w:spacing w:before="80" w:after="160"/>
              <w:rPr>
                <w:color w:val="auto"/>
                <w:sz w:val="18"/>
              </w:rPr>
            </w:pPr>
            <w:r w:rsidRPr="00C5376F">
              <w:rPr>
                <w:rFonts w:ascii="Trebuchet MS" w:eastAsia="Trebuchet MS" w:hAnsi="Trebuchet MS" w:cs="Trebuchet MS"/>
                <w:color w:val="auto"/>
                <w:sz w:val="20"/>
                <w:szCs w:val="20"/>
                <w:highlight w:val="white"/>
              </w:rPr>
              <w:t>Rhetorical performance</w:t>
            </w:r>
          </w:p>
        </w:tc>
        <w:tc>
          <w:tcPr>
            <w:tcW w:w="6130" w:type="dxa"/>
            <w:tcBorders>
              <w:top w:val="single" w:sz="6" w:space="0" w:color="999999"/>
              <w:left w:val="single" w:sz="6" w:space="0" w:color="999999"/>
              <w:bottom w:val="single" w:sz="6" w:space="0" w:color="999999"/>
              <w:right w:val="single" w:sz="6" w:space="0" w:color="999999"/>
            </w:tcBorders>
            <w:tcMar>
              <w:top w:w="40" w:type="dxa"/>
              <w:left w:w="120" w:type="dxa"/>
              <w:bottom w:w="40" w:type="dxa"/>
              <w:right w:w="120" w:type="dxa"/>
            </w:tcMar>
          </w:tcPr>
          <w:p w14:paraId="5A53A702" w14:textId="77777777" w:rsidR="00232460" w:rsidRPr="00C5376F" w:rsidRDefault="00B07A63">
            <w:pPr>
              <w:pStyle w:val="normal0"/>
              <w:spacing w:before="80" w:after="160"/>
              <w:rPr>
                <w:color w:val="auto"/>
                <w:sz w:val="18"/>
              </w:rPr>
            </w:pPr>
            <w:r w:rsidRPr="00C5376F">
              <w:rPr>
                <w:rFonts w:ascii="Trebuchet MS" w:eastAsia="Trebuchet MS" w:hAnsi="Trebuchet MS" w:cs="Trebuchet MS"/>
                <w:color w:val="auto"/>
                <w:sz w:val="18"/>
                <w:szCs w:val="20"/>
                <w:highlight w:val="white"/>
              </w:rPr>
              <w:t xml:space="preserve">You will have </w:t>
            </w:r>
            <w:r w:rsidRPr="00C5376F">
              <w:rPr>
                <w:rFonts w:ascii="Trebuchet MS" w:eastAsia="Trebuchet MS" w:hAnsi="Trebuchet MS" w:cs="Trebuchet MS"/>
                <w:b/>
                <w:color w:val="auto"/>
                <w:sz w:val="18"/>
                <w:szCs w:val="20"/>
                <w:highlight w:val="white"/>
              </w:rPr>
              <w:t>enacted</w:t>
            </w:r>
            <w:r w:rsidRPr="00C5376F">
              <w:rPr>
                <w:rFonts w:ascii="Trebuchet MS" w:eastAsia="Trebuchet MS" w:hAnsi="Trebuchet MS" w:cs="Trebuchet MS"/>
                <w:color w:val="auto"/>
                <w:sz w:val="18"/>
                <w:szCs w:val="20"/>
                <w:highlight w:val="white"/>
              </w:rPr>
              <w:t xml:space="preserve"> rhetoric by consciously constructing persuasive texts.</w:t>
            </w:r>
          </w:p>
        </w:tc>
      </w:tr>
      <w:tr w:rsidR="00232460" w:rsidRPr="00B07A63" w14:paraId="153A2460" w14:textId="77777777">
        <w:tc>
          <w:tcPr>
            <w:tcW w:w="3229" w:type="dxa"/>
            <w:tcBorders>
              <w:top w:val="single" w:sz="6" w:space="0" w:color="999999"/>
              <w:left w:val="single" w:sz="6" w:space="0" w:color="999999"/>
              <w:bottom w:val="single" w:sz="6" w:space="0" w:color="999999"/>
              <w:right w:val="single" w:sz="6" w:space="0" w:color="999999"/>
            </w:tcBorders>
            <w:tcMar>
              <w:top w:w="40" w:type="dxa"/>
              <w:left w:w="120" w:type="dxa"/>
              <w:bottom w:w="40" w:type="dxa"/>
              <w:right w:w="120" w:type="dxa"/>
            </w:tcMar>
          </w:tcPr>
          <w:p w14:paraId="2AE80971" w14:textId="77777777" w:rsidR="00232460" w:rsidRPr="00C5376F" w:rsidRDefault="00B07A63">
            <w:pPr>
              <w:pStyle w:val="normal0"/>
              <w:spacing w:before="80" w:after="160"/>
              <w:rPr>
                <w:color w:val="auto"/>
                <w:sz w:val="18"/>
              </w:rPr>
            </w:pPr>
            <w:r w:rsidRPr="00C5376F">
              <w:rPr>
                <w:rFonts w:ascii="Trebuchet MS" w:eastAsia="Trebuchet MS" w:hAnsi="Trebuchet MS" w:cs="Trebuchet MS"/>
                <w:color w:val="auto"/>
                <w:sz w:val="20"/>
                <w:szCs w:val="20"/>
                <w:highlight w:val="white"/>
              </w:rPr>
              <w:t>Research process</w:t>
            </w:r>
          </w:p>
        </w:tc>
        <w:tc>
          <w:tcPr>
            <w:tcW w:w="6130" w:type="dxa"/>
            <w:tcBorders>
              <w:top w:val="single" w:sz="6" w:space="0" w:color="999999"/>
              <w:left w:val="single" w:sz="6" w:space="0" w:color="999999"/>
              <w:bottom w:val="single" w:sz="6" w:space="0" w:color="999999"/>
              <w:right w:val="single" w:sz="6" w:space="0" w:color="999999"/>
            </w:tcBorders>
            <w:tcMar>
              <w:top w:w="40" w:type="dxa"/>
              <w:left w:w="120" w:type="dxa"/>
              <w:bottom w:w="40" w:type="dxa"/>
              <w:right w:w="120" w:type="dxa"/>
            </w:tcMar>
          </w:tcPr>
          <w:p w14:paraId="22BF0546" w14:textId="77777777" w:rsidR="00232460" w:rsidRPr="00C5376F" w:rsidRDefault="00B07A63">
            <w:pPr>
              <w:pStyle w:val="normal0"/>
              <w:spacing w:before="80" w:after="160"/>
              <w:rPr>
                <w:color w:val="auto"/>
                <w:sz w:val="18"/>
              </w:rPr>
            </w:pPr>
            <w:r w:rsidRPr="00C5376F">
              <w:rPr>
                <w:rFonts w:ascii="Trebuchet MS" w:eastAsia="Trebuchet MS" w:hAnsi="Trebuchet MS" w:cs="Trebuchet MS"/>
                <w:color w:val="auto"/>
                <w:sz w:val="18"/>
                <w:szCs w:val="20"/>
                <w:highlight w:val="white"/>
              </w:rPr>
              <w:t xml:space="preserve">You will have </w:t>
            </w:r>
            <w:r w:rsidRPr="00C5376F">
              <w:rPr>
                <w:rFonts w:ascii="Trebuchet MS" w:eastAsia="Trebuchet MS" w:hAnsi="Trebuchet MS" w:cs="Trebuchet MS"/>
                <w:b/>
                <w:color w:val="auto"/>
                <w:sz w:val="18"/>
                <w:szCs w:val="20"/>
                <w:highlight w:val="white"/>
              </w:rPr>
              <w:t>practiced</w:t>
            </w:r>
            <w:r w:rsidRPr="00C5376F">
              <w:rPr>
                <w:rFonts w:ascii="Trebuchet MS" w:eastAsia="Trebuchet MS" w:hAnsi="Trebuchet MS" w:cs="Trebuchet MS"/>
                <w:color w:val="auto"/>
                <w:sz w:val="18"/>
                <w:szCs w:val="20"/>
                <w:highlight w:val="white"/>
              </w:rPr>
              <w:t xml:space="preserve"> different research methods, which </w:t>
            </w:r>
            <w:proofErr w:type="gramStart"/>
            <w:r w:rsidRPr="00C5376F">
              <w:rPr>
                <w:rFonts w:ascii="Trebuchet MS" w:eastAsia="Trebuchet MS" w:hAnsi="Trebuchet MS" w:cs="Trebuchet MS"/>
                <w:color w:val="auto"/>
                <w:sz w:val="18"/>
                <w:szCs w:val="20"/>
                <w:highlight w:val="white"/>
              </w:rPr>
              <w:t>includes</w:t>
            </w:r>
            <w:proofErr w:type="gramEnd"/>
            <w:r w:rsidRPr="00C5376F">
              <w:rPr>
                <w:rFonts w:ascii="Trebuchet MS" w:eastAsia="Trebuchet MS" w:hAnsi="Trebuchet MS" w:cs="Trebuchet MS"/>
                <w:color w:val="auto"/>
                <w:sz w:val="18"/>
                <w:szCs w:val="20"/>
                <w:highlight w:val="white"/>
              </w:rPr>
              <w:t xml:space="preserve"> analyzing and using sources and developing primary research.</w:t>
            </w:r>
          </w:p>
        </w:tc>
      </w:tr>
      <w:tr w:rsidR="00232460" w:rsidRPr="00B07A63" w14:paraId="7124A27A" w14:textId="77777777">
        <w:tc>
          <w:tcPr>
            <w:tcW w:w="3229" w:type="dxa"/>
            <w:tcBorders>
              <w:top w:val="single" w:sz="6" w:space="0" w:color="999999"/>
              <w:left w:val="single" w:sz="6" w:space="0" w:color="999999"/>
              <w:bottom w:val="single" w:sz="6" w:space="0" w:color="999999"/>
              <w:right w:val="single" w:sz="6" w:space="0" w:color="999999"/>
            </w:tcBorders>
            <w:tcMar>
              <w:top w:w="40" w:type="dxa"/>
              <w:left w:w="120" w:type="dxa"/>
              <w:bottom w:w="40" w:type="dxa"/>
              <w:right w:w="120" w:type="dxa"/>
            </w:tcMar>
          </w:tcPr>
          <w:p w14:paraId="72923776" w14:textId="77777777" w:rsidR="00232460" w:rsidRPr="00C5376F" w:rsidRDefault="00B07A63">
            <w:pPr>
              <w:pStyle w:val="normal0"/>
              <w:spacing w:before="80" w:after="160"/>
              <w:rPr>
                <w:color w:val="auto"/>
                <w:sz w:val="18"/>
              </w:rPr>
            </w:pPr>
            <w:r w:rsidRPr="00C5376F">
              <w:rPr>
                <w:rFonts w:ascii="Trebuchet MS" w:eastAsia="Trebuchet MS" w:hAnsi="Trebuchet MS" w:cs="Trebuchet MS"/>
                <w:color w:val="auto"/>
                <w:sz w:val="20"/>
                <w:szCs w:val="20"/>
                <w:highlight w:val="white"/>
              </w:rPr>
              <w:t>Style conventions</w:t>
            </w:r>
          </w:p>
        </w:tc>
        <w:tc>
          <w:tcPr>
            <w:tcW w:w="6130" w:type="dxa"/>
            <w:tcBorders>
              <w:top w:val="single" w:sz="6" w:space="0" w:color="999999"/>
              <w:left w:val="single" w:sz="6" w:space="0" w:color="999999"/>
              <w:bottom w:val="single" w:sz="6" w:space="0" w:color="999999"/>
              <w:right w:val="single" w:sz="6" w:space="0" w:color="999999"/>
            </w:tcBorders>
            <w:tcMar>
              <w:top w:w="40" w:type="dxa"/>
              <w:left w:w="120" w:type="dxa"/>
              <w:bottom w:w="40" w:type="dxa"/>
              <w:right w:w="120" w:type="dxa"/>
            </w:tcMar>
          </w:tcPr>
          <w:p w14:paraId="6E6699BC" w14:textId="77777777" w:rsidR="00232460" w:rsidRPr="00C5376F" w:rsidRDefault="00B07A63">
            <w:pPr>
              <w:pStyle w:val="normal0"/>
              <w:spacing w:before="80" w:after="160"/>
              <w:rPr>
                <w:color w:val="auto"/>
                <w:sz w:val="18"/>
              </w:rPr>
            </w:pPr>
            <w:r w:rsidRPr="00C5376F">
              <w:rPr>
                <w:rFonts w:ascii="Trebuchet MS" w:eastAsia="Trebuchet MS" w:hAnsi="Trebuchet MS" w:cs="Trebuchet MS"/>
                <w:color w:val="auto"/>
                <w:sz w:val="18"/>
                <w:szCs w:val="20"/>
                <w:highlight w:val="white"/>
              </w:rPr>
              <w:t xml:space="preserve">You will have </w:t>
            </w:r>
            <w:r w:rsidRPr="00C5376F">
              <w:rPr>
                <w:rFonts w:ascii="Trebuchet MS" w:eastAsia="Trebuchet MS" w:hAnsi="Trebuchet MS" w:cs="Trebuchet MS"/>
                <w:b/>
                <w:color w:val="auto"/>
                <w:sz w:val="18"/>
                <w:szCs w:val="20"/>
                <w:highlight w:val="white"/>
              </w:rPr>
              <w:t>developed</w:t>
            </w:r>
            <w:r w:rsidRPr="00C5376F">
              <w:rPr>
                <w:rFonts w:ascii="Trebuchet MS" w:eastAsia="Trebuchet MS" w:hAnsi="Trebuchet MS" w:cs="Trebuchet MS"/>
                <w:color w:val="auto"/>
                <w:sz w:val="18"/>
                <w:szCs w:val="20"/>
                <w:highlight w:val="white"/>
              </w:rPr>
              <w:t xml:space="preserve"> awareness of conventions of academic research processes, including documentation systems and their purposes.</w:t>
            </w:r>
          </w:p>
        </w:tc>
      </w:tr>
      <w:tr w:rsidR="00232460" w:rsidRPr="00B07A63" w14:paraId="587098EA" w14:textId="77777777">
        <w:tc>
          <w:tcPr>
            <w:tcW w:w="3229" w:type="dxa"/>
            <w:tcBorders>
              <w:top w:val="single" w:sz="6" w:space="0" w:color="999999"/>
              <w:left w:val="single" w:sz="6" w:space="0" w:color="999999"/>
              <w:bottom w:val="single" w:sz="6" w:space="0" w:color="999999"/>
              <w:right w:val="single" w:sz="6" w:space="0" w:color="999999"/>
            </w:tcBorders>
            <w:tcMar>
              <w:top w:w="40" w:type="dxa"/>
              <w:left w:w="120" w:type="dxa"/>
              <w:bottom w:w="40" w:type="dxa"/>
              <w:right w:w="120" w:type="dxa"/>
            </w:tcMar>
          </w:tcPr>
          <w:p w14:paraId="257A12CA" w14:textId="77777777" w:rsidR="00232460" w:rsidRPr="00C5376F" w:rsidRDefault="00B07A63">
            <w:pPr>
              <w:pStyle w:val="normal0"/>
              <w:spacing w:before="80" w:after="160"/>
              <w:rPr>
                <w:color w:val="auto"/>
                <w:sz w:val="18"/>
              </w:rPr>
            </w:pPr>
            <w:r w:rsidRPr="00C5376F">
              <w:rPr>
                <w:rFonts w:ascii="Trebuchet MS" w:eastAsia="Trebuchet MS" w:hAnsi="Trebuchet MS" w:cs="Trebuchet MS"/>
                <w:color w:val="auto"/>
                <w:sz w:val="20"/>
                <w:szCs w:val="20"/>
                <w:highlight w:val="white"/>
              </w:rPr>
              <w:t>Multimodal design</w:t>
            </w:r>
          </w:p>
        </w:tc>
        <w:tc>
          <w:tcPr>
            <w:tcW w:w="6130" w:type="dxa"/>
            <w:tcBorders>
              <w:top w:val="single" w:sz="6" w:space="0" w:color="999999"/>
              <w:left w:val="single" w:sz="6" w:space="0" w:color="999999"/>
              <w:bottom w:val="single" w:sz="6" w:space="0" w:color="999999"/>
              <w:right w:val="single" w:sz="6" w:space="0" w:color="999999"/>
            </w:tcBorders>
            <w:tcMar>
              <w:top w:w="40" w:type="dxa"/>
              <w:left w:w="120" w:type="dxa"/>
              <w:bottom w:w="40" w:type="dxa"/>
              <w:right w:w="120" w:type="dxa"/>
            </w:tcMar>
          </w:tcPr>
          <w:p w14:paraId="572F9B95" w14:textId="77777777" w:rsidR="00232460" w:rsidRPr="00C5376F" w:rsidRDefault="00B07A63">
            <w:pPr>
              <w:pStyle w:val="normal0"/>
              <w:spacing w:before="80" w:after="160"/>
              <w:rPr>
                <w:color w:val="auto"/>
                <w:sz w:val="18"/>
              </w:rPr>
            </w:pPr>
            <w:r w:rsidRPr="00C5376F">
              <w:rPr>
                <w:rFonts w:ascii="Trebuchet MS" w:eastAsia="Trebuchet MS" w:hAnsi="Trebuchet MS" w:cs="Trebuchet MS"/>
                <w:color w:val="auto"/>
                <w:sz w:val="18"/>
                <w:szCs w:val="20"/>
                <w:highlight w:val="white"/>
              </w:rPr>
              <w:t xml:space="preserve">You will have </w:t>
            </w:r>
            <w:r w:rsidRPr="00C5376F">
              <w:rPr>
                <w:rFonts w:ascii="Trebuchet MS" w:eastAsia="Trebuchet MS" w:hAnsi="Trebuchet MS" w:cs="Trebuchet MS"/>
                <w:b/>
                <w:color w:val="auto"/>
                <w:sz w:val="18"/>
                <w:szCs w:val="20"/>
                <w:highlight w:val="white"/>
              </w:rPr>
              <w:t>composed</w:t>
            </w:r>
            <w:r w:rsidRPr="00C5376F">
              <w:rPr>
                <w:rFonts w:ascii="Trebuchet MS" w:eastAsia="Trebuchet MS" w:hAnsi="Trebuchet MS" w:cs="Trebuchet MS"/>
                <w:color w:val="auto"/>
                <w:sz w:val="18"/>
                <w:szCs w:val="20"/>
                <w:highlight w:val="white"/>
              </w:rPr>
              <w:t xml:space="preserve"> using digital technologies, gaining awareness of the possibilities and constraints of electronic environments.</w:t>
            </w:r>
          </w:p>
        </w:tc>
      </w:tr>
      <w:tr w:rsidR="00232460" w:rsidRPr="00B07A63" w14:paraId="609A4839" w14:textId="77777777">
        <w:tc>
          <w:tcPr>
            <w:tcW w:w="3229" w:type="dxa"/>
            <w:tcBorders>
              <w:top w:val="single" w:sz="6" w:space="0" w:color="999999"/>
              <w:left w:val="single" w:sz="6" w:space="0" w:color="999999"/>
              <w:bottom w:val="single" w:sz="6" w:space="0" w:color="999999"/>
              <w:right w:val="single" w:sz="6" w:space="0" w:color="999999"/>
            </w:tcBorders>
            <w:tcMar>
              <w:top w:w="40" w:type="dxa"/>
              <w:left w:w="120" w:type="dxa"/>
              <w:bottom w:w="40" w:type="dxa"/>
              <w:right w:w="120" w:type="dxa"/>
            </w:tcMar>
          </w:tcPr>
          <w:p w14:paraId="72A73786" w14:textId="77777777" w:rsidR="00232460" w:rsidRPr="00C5376F" w:rsidRDefault="00B07A63">
            <w:pPr>
              <w:pStyle w:val="normal0"/>
              <w:spacing w:before="80" w:after="160"/>
              <w:rPr>
                <w:color w:val="auto"/>
                <w:sz w:val="18"/>
              </w:rPr>
            </w:pPr>
            <w:r w:rsidRPr="00C5376F">
              <w:rPr>
                <w:rFonts w:ascii="Trebuchet MS" w:eastAsia="Trebuchet MS" w:hAnsi="Trebuchet MS" w:cs="Trebuchet MS"/>
                <w:color w:val="auto"/>
                <w:sz w:val="20"/>
                <w:szCs w:val="20"/>
                <w:highlight w:val="white"/>
              </w:rPr>
              <w:t>Reflective interaction</w:t>
            </w:r>
          </w:p>
        </w:tc>
        <w:tc>
          <w:tcPr>
            <w:tcW w:w="6130" w:type="dxa"/>
            <w:tcBorders>
              <w:top w:val="single" w:sz="6" w:space="0" w:color="999999"/>
              <w:left w:val="single" w:sz="6" w:space="0" w:color="999999"/>
              <w:bottom w:val="single" w:sz="6" w:space="0" w:color="999999"/>
              <w:right w:val="single" w:sz="6" w:space="0" w:color="999999"/>
            </w:tcBorders>
            <w:tcMar>
              <w:top w:w="40" w:type="dxa"/>
              <w:left w:w="120" w:type="dxa"/>
              <w:bottom w:w="40" w:type="dxa"/>
              <w:right w:w="120" w:type="dxa"/>
            </w:tcMar>
          </w:tcPr>
          <w:p w14:paraId="140A0CD0" w14:textId="77777777" w:rsidR="00232460" w:rsidRPr="00C5376F" w:rsidRDefault="00B07A63">
            <w:pPr>
              <w:pStyle w:val="normal0"/>
              <w:spacing w:before="80" w:after="160"/>
              <w:rPr>
                <w:color w:val="auto"/>
                <w:sz w:val="18"/>
              </w:rPr>
            </w:pPr>
            <w:r w:rsidRPr="00C5376F">
              <w:rPr>
                <w:rFonts w:ascii="Trebuchet MS" w:eastAsia="Trebuchet MS" w:hAnsi="Trebuchet MS" w:cs="Trebuchet MS"/>
                <w:color w:val="auto"/>
                <w:sz w:val="18"/>
                <w:szCs w:val="20"/>
                <w:highlight w:val="white"/>
              </w:rPr>
              <w:t xml:space="preserve">You will have </w:t>
            </w:r>
            <w:r w:rsidRPr="00C5376F">
              <w:rPr>
                <w:rFonts w:ascii="Trebuchet MS" w:eastAsia="Trebuchet MS" w:hAnsi="Trebuchet MS" w:cs="Trebuchet MS"/>
                <w:b/>
                <w:color w:val="auto"/>
                <w:sz w:val="18"/>
                <w:szCs w:val="20"/>
                <w:highlight w:val="white"/>
              </w:rPr>
              <w:t>shared</w:t>
            </w:r>
            <w:r w:rsidRPr="00C5376F">
              <w:rPr>
                <w:rFonts w:ascii="Trebuchet MS" w:eastAsia="Trebuchet MS" w:hAnsi="Trebuchet MS" w:cs="Trebuchet MS"/>
                <w:color w:val="auto"/>
                <w:sz w:val="18"/>
                <w:szCs w:val="20"/>
                <w:highlight w:val="white"/>
              </w:rPr>
              <w:t xml:space="preserve"> your work with your instructor, peers, and/or the university community and accounted for the impact of such interaction on composition.</w:t>
            </w:r>
          </w:p>
        </w:tc>
      </w:tr>
    </w:tbl>
    <w:p w14:paraId="19D1A98C" w14:textId="77777777" w:rsidR="00232460" w:rsidRDefault="00232460">
      <w:pPr>
        <w:pStyle w:val="normal0"/>
      </w:pPr>
    </w:p>
    <w:p w14:paraId="0099F4CD" w14:textId="22ADFCF5" w:rsidR="00232460" w:rsidRDefault="00B07A63">
      <w:pPr>
        <w:pStyle w:val="normal0"/>
      </w:pPr>
      <w:r>
        <w:rPr>
          <w:rFonts w:ascii="Trebuchet MS" w:eastAsia="Trebuchet MS" w:hAnsi="Trebuchet MS" w:cs="Trebuchet MS"/>
          <w:b/>
        </w:rPr>
        <w:t>Course Texts and Materials</w:t>
      </w:r>
    </w:p>
    <w:p w14:paraId="2D51078F" w14:textId="07CE1A13" w:rsidR="00232460" w:rsidRDefault="00C5376F">
      <w:pPr>
        <w:pStyle w:val="normal0"/>
      </w:pPr>
      <w:r>
        <w:rPr>
          <w:rFonts w:ascii="Trebuchet MS" w:eastAsia="Trebuchet MS" w:hAnsi="Trebuchet MS" w:cs="Trebuchet MS"/>
          <w:b/>
          <w:noProof/>
        </w:rPr>
        <mc:AlternateContent>
          <mc:Choice Requires="wps">
            <w:drawing>
              <wp:anchor distT="0" distB="0" distL="114300" distR="114300" simplePos="0" relativeHeight="251659264" behindDoc="0" locked="0" layoutInCell="1" allowOverlap="1" wp14:anchorId="42C3B401" wp14:editId="7733D847">
                <wp:simplePos x="0" y="0"/>
                <wp:positionH relativeFrom="column">
                  <wp:posOffset>2400300</wp:posOffset>
                </wp:positionH>
                <wp:positionV relativeFrom="paragraph">
                  <wp:posOffset>537845</wp:posOffset>
                </wp:positionV>
                <wp:extent cx="34290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15D8A" w14:textId="77777777" w:rsidR="00C5376F" w:rsidRDefault="00C5376F" w:rsidP="00C5376F">
                            <w:pPr>
                              <w:pStyle w:val="normal0"/>
                            </w:pPr>
                            <w:r>
                              <w:rPr>
                                <w:rFonts w:ascii="Trebuchet MS" w:eastAsia="Trebuchet MS" w:hAnsi="Trebuchet MS" w:cs="Trebuchet MS"/>
                                <w:highlight w:val="white"/>
                              </w:rPr>
                              <w:t xml:space="preserve">Lunsford, Andrea A. </w:t>
                            </w:r>
                            <w:r>
                              <w:rPr>
                                <w:rFonts w:ascii="Trebuchet MS" w:eastAsia="Trebuchet MS" w:hAnsi="Trebuchet MS" w:cs="Trebuchet MS"/>
                                <w:i/>
                                <w:highlight w:val="white"/>
                              </w:rPr>
                              <w:t>Writing in Action</w:t>
                            </w:r>
                            <w:r>
                              <w:rPr>
                                <w:rFonts w:ascii="Trebuchet MS" w:eastAsia="Trebuchet MS" w:hAnsi="Trebuchet MS" w:cs="Trebuchet MS"/>
                                <w:highlight w:val="white"/>
                              </w:rPr>
                              <w:t>. Boston: Bedford St. Martin's, 2014. ISBN 978-1-319-00314-2. (</w:t>
                            </w:r>
                            <w:proofErr w:type="gramStart"/>
                            <w:r>
                              <w:rPr>
                                <w:rFonts w:ascii="Trebuchet MS" w:eastAsia="Trebuchet MS" w:hAnsi="Trebuchet MS" w:cs="Trebuchet MS"/>
                                <w:highlight w:val="white"/>
                              </w:rPr>
                              <w:t>required</w:t>
                            </w:r>
                            <w:proofErr w:type="gramEnd"/>
                            <w:r>
                              <w:rPr>
                                <w:rFonts w:ascii="Trebuchet MS" w:eastAsia="Trebuchet MS" w:hAnsi="Trebuchet MS" w:cs="Trebuchet MS"/>
                                <w:highlight w:val="white"/>
                              </w:rPr>
                              <w:t>)</w:t>
                            </w:r>
                          </w:p>
                          <w:p w14:paraId="1D0E54A8" w14:textId="77777777" w:rsidR="00C5376F" w:rsidRDefault="00C53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9pt;margin-top:42.35pt;width:27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" filled="f" stroked="f">
                <v:textbox>
                  <w:txbxContent>
                    <w:p w14:paraId="27B15D8A" w14:textId="77777777" w:rsidR="00C5376F" w:rsidRDefault="00C5376F" w:rsidP="00C5376F">
                      <w:pPr>
                        <w:pStyle w:val="normal0"/>
                      </w:pPr>
                      <w:r>
                        <w:rPr>
                          <w:rFonts w:ascii="Trebuchet MS" w:eastAsia="Trebuchet MS" w:hAnsi="Trebuchet MS" w:cs="Trebuchet MS"/>
                          <w:highlight w:val="white"/>
                        </w:rPr>
                        <w:t xml:space="preserve">Lunsford, Andrea A. </w:t>
                      </w:r>
                      <w:r>
                        <w:rPr>
                          <w:rFonts w:ascii="Trebuchet MS" w:eastAsia="Trebuchet MS" w:hAnsi="Trebuchet MS" w:cs="Trebuchet MS"/>
                          <w:i/>
                          <w:highlight w:val="white"/>
                        </w:rPr>
                        <w:t>Writing in Action</w:t>
                      </w:r>
                      <w:r>
                        <w:rPr>
                          <w:rFonts w:ascii="Trebuchet MS" w:eastAsia="Trebuchet MS" w:hAnsi="Trebuchet MS" w:cs="Trebuchet MS"/>
                          <w:highlight w:val="white"/>
                        </w:rPr>
                        <w:t>. Boston: Bedford St. Martin's, 2014. ISBN 978-1-319-00314-2. (</w:t>
                      </w:r>
                      <w:proofErr w:type="gramStart"/>
                      <w:r>
                        <w:rPr>
                          <w:rFonts w:ascii="Trebuchet MS" w:eastAsia="Trebuchet MS" w:hAnsi="Trebuchet MS" w:cs="Trebuchet MS"/>
                          <w:highlight w:val="white"/>
                        </w:rPr>
                        <w:t>required</w:t>
                      </w:r>
                      <w:proofErr w:type="gramEnd"/>
                      <w:r>
                        <w:rPr>
                          <w:rFonts w:ascii="Trebuchet MS" w:eastAsia="Trebuchet MS" w:hAnsi="Trebuchet MS" w:cs="Trebuchet MS"/>
                          <w:highlight w:val="white"/>
                        </w:rPr>
                        <w:t>)</w:t>
                      </w:r>
                    </w:p>
                    <w:p w14:paraId="1D0E54A8" w14:textId="77777777" w:rsidR="00C5376F" w:rsidRDefault="00C5376F"/>
                  </w:txbxContent>
                </v:textbox>
                <w10:wrap type="square"/>
              </v:shape>
            </w:pict>
          </mc:Fallback>
        </mc:AlternateContent>
      </w:r>
      <w:r w:rsidR="00B07A63">
        <w:rPr>
          <w:noProof/>
        </w:rPr>
        <w:drawing>
          <wp:inline distT="114300" distB="114300" distL="114300" distR="114300" wp14:anchorId="41D8D01B" wp14:editId="729ED90F">
            <wp:extent cx="1028700" cy="1448435"/>
            <wp:effectExtent l="0" t="0" r="1270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029074" cy="1448962"/>
                    </a:xfrm>
                    <a:prstGeom prst="rect">
                      <a:avLst/>
                    </a:prstGeom>
                    <a:ln/>
                  </pic:spPr>
                </pic:pic>
              </a:graphicData>
            </a:graphic>
          </wp:inline>
        </w:drawing>
      </w:r>
    </w:p>
    <w:p w14:paraId="29BF316A" w14:textId="77777777" w:rsidR="00232460" w:rsidRDefault="00572EDF">
      <w:pPr>
        <w:pStyle w:val="normal0"/>
      </w:pPr>
      <w:hyperlink r:id="rId9"/>
    </w:p>
    <w:p w14:paraId="26D788C9" w14:textId="45ACBD04" w:rsidR="00232460" w:rsidRDefault="0075102E">
      <w:pPr>
        <w:pStyle w:val="normal0"/>
      </w:pPr>
      <w:r>
        <w:rPr>
          <w:noProof/>
        </w:rPr>
        <mc:AlternateContent>
          <mc:Choice Requires="wps">
            <w:drawing>
              <wp:anchor distT="0" distB="0" distL="114300" distR="114300" simplePos="0" relativeHeight="251661312" behindDoc="0" locked="0" layoutInCell="1" allowOverlap="1" wp14:anchorId="056C09CD" wp14:editId="55F955BC">
                <wp:simplePos x="0" y="0"/>
                <wp:positionH relativeFrom="column">
                  <wp:posOffset>2286000</wp:posOffset>
                </wp:positionH>
                <wp:positionV relativeFrom="paragraph">
                  <wp:posOffset>594995</wp:posOffset>
                </wp:positionV>
                <wp:extent cx="3543300" cy="8375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837565"/>
                        </a:xfrm>
                        <a:prstGeom prst="rect">
                          <a:avLst/>
                        </a:prstGeom>
                        <a:noFill/>
                        <a:ln>
                          <a:noFill/>
                        </a:ln>
                        <a:effectLst/>
                        <a:extLst>
                          <a:ext uri="{C572A759-6A51-4108-AA02-DFA0A04FC94B}">
                            <ma14:wrappingTextBoxFlag xmlns:ma14="http://schemas.microsoft.com/office/mac/drawingml/2011/main"/>
                          </a:ext>
                        </a:extLst>
                      </wps:spPr>
                      <wps:txbx>
                        <w:txbxContent>
                          <w:p w14:paraId="507C3E14" w14:textId="77777777" w:rsidR="0075102E" w:rsidRPr="003C113A" w:rsidRDefault="0075102E" w:rsidP="003C113A">
                            <w:pPr>
                              <w:pStyle w:val="normal0"/>
                              <w:rPr>
                                <w:rFonts w:ascii="Trebuchet MS" w:eastAsia="Trebuchet MS" w:hAnsi="Trebuchet MS" w:cs="Trebuchet MS"/>
                              </w:rPr>
                            </w:pPr>
                            <w:proofErr w:type="spellStart"/>
                            <w:r>
                              <w:rPr>
                                <w:rFonts w:ascii="Trebuchet MS" w:eastAsia="Trebuchet MS" w:hAnsi="Trebuchet MS" w:cs="Trebuchet MS"/>
                                <w:highlight w:val="white"/>
                              </w:rPr>
                              <w:t>Losh</w:t>
                            </w:r>
                            <w:proofErr w:type="spellEnd"/>
                            <w:r>
                              <w:rPr>
                                <w:rFonts w:ascii="Trebuchet MS" w:eastAsia="Trebuchet MS" w:hAnsi="Trebuchet MS" w:cs="Trebuchet MS"/>
                                <w:highlight w:val="white"/>
                              </w:rPr>
                              <w:t xml:space="preserve">, Alexander, Cannon, and Cannon. </w:t>
                            </w:r>
                            <w:proofErr w:type="gramStart"/>
                            <w:r>
                              <w:rPr>
                                <w:rFonts w:ascii="Trebuchet MS" w:eastAsia="Trebuchet MS" w:hAnsi="Trebuchet MS" w:cs="Trebuchet MS"/>
                                <w:i/>
                                <w:highlight w:val="white"/>
                              </w:rPr>
                              <w:t>Understanding Rhetoric (EMU Custom Edition)</w:t>
                            </w:r>
                            <w:r>
                              <w:rPr>
                                <w:rFonts w:ascii="Trebuchet MS" w:eastAsia="Trebuchet MS" w:hAnsi="Trebuchet MS" w:cs="Trebuchet MS"/>
                                <w:highlight w:val="white"/>
                              </w:rPr>
                              <w:t>.</w:t>
                            </w:r>
                            <w:proofErr w:type="gramEnd"/>
                            <w:r>
                              <w:rPr>
                                <w:rFonts w:ascii="Trebuchet MS" w:eastAsia="Trebuchet MS" w:hAnsi="Trebuchet MS" w:cs="Trebuchet MS"/>
                                <w:highlight w:val="white"/>
                              </w:rPr>
                              <w:t xml:space="preserve"> Boston: Bedford St. Martin's, 2014. ISBN 978-1-319-00314-2. (</w:t>
                            </w:r>
                            <w:proofErr w:type="gramStart"/>
                            <w:r>
                              <w:rPr>
                                <w:rFonts w:ascii="Trebuchet MS" w:eastAsia="Trebuchet MS" w:hAnsi="Trebuchet MS" w:cs="Trebuchet MS"/>
                                <w:highlight w:val="white"/>
                              </w:rPr>
                              <w:t>required</w:t>
                            </w:r>
                            <w:proofErr w:type="gramEnd"/>
                            <w:r>
                              <w:rPr>
                                <w:rFonts w:ascii="Trebuchet MS" w:eastAsia="Trebuchet MS" w:hAnsi="Trebuchet MS" w:cs="Trebuchet MS"/>
                                <w:highlight w:val="whit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27" type="#_x0000_t202" style="position:absolute;margin-left:180pt;margin-top:46.85pt;width:279pt;height:65.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" filled="f" stroked="f">
                <v:textbox style="mso-fit-shape-to-text:t">
                  <w:txbxContent>
                    <w:p w14:paraId="507C3E14" w14:textId="77777777" w:rsidR="0075102E" w:rsidRPr="003C113A" w:rsidRDefault="0075102E" w:rsidP="003C113A">
                      <w:pPr>
                        <w:pStyle w:val="normal0"/>
                        <w:rPr>
                          <w:rFonts w:ascii="Trebuchet MS" w:eastAsia="Trebuchet MS" w:hAnsi="Trebuchet MS" w:cs="Trebuchet MS"/>
                        </w:rPr>
                      </w:pPr>
                      <w:proofErr w:type="spellStart"/>
                      <w:r>
                        <w:rPr>
                          <w:rFonts w:ascii="Trebuchet MS" w:eastAsia="Trebuchet MS" w:hAnsi="Trebuchet MS" w:cs="Trebuchet MS"/>
                          <w:highlight w:val="white"/>
                        </w:rPr>
                        <w:t>Losh</w:t>
                      </w:r>
                      <w:proofErr w:type="spellEnd"/>
                      <w:r>
                        <w:rPr>
                          <w:rFonts w:ascii="Trebuchet MS" w:eastAsia="Trebuchet MS" w:hAnsi="Trebuchet MS" w:cs="Trebuchet MS"/>
                          <w:highlight w:val="white"/>
                        </w:rPr>
                        <w:t xml:space="preserve">, Alexander, Cannon, and Cannon. </w:t>
                      </w:r>
                      <w:proofErr w:type="gramStart"/>
                      <w:r>
                        <w:rPr>
                          <w:rFonts w:ascii="Trebuchet MS" w:eastAsia="Trebuchet MS" w:hAnsi="Trebuchet MS" w:cs="Trebuchet MS"/>
                          <w:i/>
                          <w:highlight w:val="white"/>
                        </w:rPr>
                        <w:t>Understanding Rhetoric (EMU Custom Edition)</w:t>
                      </w:r>
                      <w:r>
                        <w:rPr>
                          <w:rFonts w:ascii="Trebuchet MS" w:eastAsia="Trebuchet MS" w:hAnsi="Trebuchet MS" w:cs="Trebuchet MS"/>
                          <w:highlight w:val="white"/>
                        </w:rPr>
                        <w:t>.</w:t>
                      </w:r>
                      <w:proofErr w:type="gramEnd"/>
                      <w:r>
                        <w:rPr>
                          <w:rFonts w:ascii="Trebuchet MS" w:eastAsia="Trebuchet MS" w:hAnsi="Trebuchet MS" w:cs="Trebuchet MS"/>
                          <w:highlight w:val="white"/>
                        </w:rPr>
                        <w:t xml:space="preserve"> Boston: Bedford St. Martin's, 2014. ISBN 978-1-319-00314-2. (</w:t>
                      </w:r>
                      <w:proofErr w:type="gramStart"/>
                      <w:r>
                        <w:rPr>
                          <w:rFonts w:ascii="Trebuchet MS" w:eastAsia="Trebuchet MS" w:hAnsi="Trebuchet MS" w:cs="Trebuchet MS"/>
                          <w:highlight w:val="white"/>
                        </w:rPr>
                        <w:t>required</w:t>
                      </w:r>
                      <w:proofErr w:type="gramEnd"/>
                      <w:r>
                        <w:rPr>
                          <w:rFonts w:ascii="Trebuchet MS" w:eastAsia="Trebuchet MS" w:hAnsi="Trebuchet MS" w:cs="Trebuchet MS"/>
                          <w:highlight w:val="white"/>
                        </w:rPr>
                        <w:t>)</w:t>
                      </w:r>
                    </w:p>
                  </w:txbxContent>
                </v:textbox>
                <w10:wrap type="square"/>
              </v:shape>
            </w:pict>
          </mc:Fallback>
        </mc:AlternateContent>
      </w:r>
      <w:r w:rsidR="00B07A63">
        <w:rPr>
          <w:noProof/>
        </w:rPr>
        <w:drawing>
          <wp:inline distT="114300" distB="114300" distL="114300" distR="114300" wp14:anchorId="662C3D52" wp14:editId="4A3962F5">
            <wp:extent cx="1709738" cy="2144832"/>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1709738" cy="2144832"/>
                    </a:xfrm>
                    <a:prstGeom prst="rect">
                      <a:avLst/>
                    </a:prstGeom>
                    <a:ln/>
                  </pic:spPr>
                </pic:pic>
              </a:graphicData>
            </a:graphic>
          </wp:inline>
        </w:drawing>
      </w:r>
    </w:p>
    <w:p w14:paraId="70CCFE92" w14:textId="574D25B7" w:rsidR="00232460" w:rsidRDefault="00232460">
      <w:pPr>
        <w:pStyle w:val="normal0"/>
      </w:pPr>
    </w:p>
    <w:p w14:paraId="034F18C9" w14:textId="77777777" w:rsidR="00232460" w:rsidRPr="0075102E" w:rsidRDefault="00B07A63">
      <w:pPr>
        <w:pStyle w:val="normal0"/>
        <w:rPr>
          <w:sz w:val="18"/>
        </w:rPr>
      </w:pPr>
      <w:r w:rsidRPr="0075102E">
        <w:rPr>
          <w:rFonts w:ascii="Trebuchet MS" w:eastAsia="Trebuchet MS" w:hAnsi="Trebuchet MS" w:cs="Trebuchet MS"/>
          <w:sz w:val="18"/>
          <w:highlight w:val="white"/>
        </w:rPr>
        <w:t>These two texts are available as a bundle at the EMU Student Center Bookstore. Copies are also on reserve in Halle Library. Supplemental readings will be available to you as PDFs and hyperlinks accessible in Canvas. You should access these materials for reading on the screen or, if you prefer, for printing and reading. Plan to spend as much as 20 USD on printing and photocopying over the course of the semester.</w:t>
      </w:r>
    </w:p>
    <w:p w14:paraId="0C76804F" w14:textId="77777777" w:rsidR="00232460" w:rsidRDefault="00232460">
      <w:pPr>
        <w:pStyle w:val="normal0"/>
      </w:pPr>
    </w:p>
    <w:p w14:paraId="39250D66" w14:textId="77777777" w:rsidR="00232460" w:rsidRDefault="00B07A63">
      <w:pPr>
        <w:pStyle w:val="normal0"/>
      </w:pPr>
      <w:r>
        <w:rPr>
          <w:rFonts w:ascii="Trebuchet MS" w:eastAsia="Trebuchet MS" w:hAnsi="Trebuchet MS" w:cs="Trebuchet MS"/>
          <w:b/>
        </w:rPr>
        <w:t>Feedback</w:t>
      </w:r>
    </w:p>
    <w:p w14:paraId="5D7FE373" w14:textId="77777777" w:rsidR="00232460" w:rsidRDefault="00B07A63">
      <w:pPr>
        <w:pStyle w:val="normal0"/>
      </w:pPr>
      <w:r>
        <w:rPr>
          <w:rFonts w:ascii="Trebuchet MS" w:eastAsia="Trebuchet MS" w:hAnsi="Trebuchet MS" w:cs="Trebuchet MS"/>
          <w:highlight w:val="white"/>
        </w:rPr>
        <w:t>You will receive many different kinds of feedback to your writing during this course. Some responses will come from fellow students and some will come from your instructor. All forms of feedback, including responses you receive from scheduling individual or group appointments in the University Writing Center or the Academic Projects Center, are important; they tell you in various ways how your readers are responding to your writing. This will also help you learn how to assess your own work.</w:t>
      </w:r>
    </w:p>
    <w:p w14:paraId="0E45A8CB" w14:textId="77777777" w:rsidR="00232460" w:rsidRDefault="00232460">
      <w:pPr>
        <w:pStyle w:val="normal0"/>
      </w:pPr>
    </w:p>
    <w:p w14:paraId="706D345A" w14:textId="77777777" w:rsidR="0075102E" w:rsidRDefault="0075102E">
      <w:pPr>
        <w:pStyle w:val="normal0"/>
      </w:pPr>
    </w:p>
    <w:p w14:paraId="21692A72" w14:textId="77777777" w:rsidR="00232460" w:rsidRDefault="00B07A63">
      <w:pPr>
        <w:pStyle w:val="normal0"/>
      </w:pPr>
      <w:r>
        <w:rPr>
          <w:rFonts w:ascii="Trebuchet MS" w:eastAsia="Trebuchet MS" w:hAnsi="Trebuchet MS" w:cs="Trebuchet MS"/>
          <w:b/>
        </w:rPr>
        <w:t>Grading</w:t>
      </w:r>
    </w:p>
    <w:p w14:paraId="5A8E21D1" w14:textId="77777777" w:rsidR="00232460" w:rsidRDefault="00B07A63">
      <w:pPr>
        <w:pStyle w:val="normal0"/>
      </w:pPr>
      <w:r>
        <w:rPr>
          <w:rFonts w:ascii="Trebuchet MS" w:eastAsia="Trebuchet MS" w:hAnsi="Trebuchet MS" w:cs="Trebuchet MS"/>
          <w:highlight w:val="white"/>
        </w:rPr>
        <w:t>The breakdown of graded items is as follows:</w:t>
      </w:r>
    </w:p>
    <w:p w14:paraId="19B436EE" w14:textId="77777777" w:rsidR="00232460" w:rsidRDefault="00B07A63">
      <w:pPr>
        <w:pStyle w:val="normal0"/>
      </w:pPr>
      <w:r>
        <w:rPr>
          <w:rFonts w:ascii="Trebuchet MS" w:eastAsia="Trebuchet MS" w:hAnsi="Trebuchet MS" w:cs="Trebuchet MS"/>
          <w:highlight w:val="white"/>
        </w:rPr>
        <w:t xml:space="preserve">Project One: </w:t>
      </w:r>
      <w:proofErr w:type="spellStart"/>
      <w:r w:rsidRPr="00B07A63">
        <w:rPr>
          <w:rFonts w:ascii="Trebuchet MS" w:eastAsia="Trebuchet MS" w:hAnsi="Trebuchet MS" w:cs="Trebuchet MS"/>
          <w:color w:val="auto"/>
          <w:highlight w:val="white"/>
        </w:rPr>
        <w:t>Worknets</w:t>
      </w:r>
      <w:proofErr w:type="spellEnd"/>
      <w:r w:rsidRPr="00B07A63">
        <w:rPr>
          <w:rFonts w:ascii="Trebuchet MS" w:eastAsia="Trebuchet MS" w:hAnsi="Trebuchet MS" w:cs="Trebuchet MS"/>
          <w:color w:val="auto"/>
          <w:highlight w:val="white"/>
        </w:rPr>
        <w:t xml:space="preserve"> </w:t>
      </w:r>
      <w:r>
        <w:rPr>
          <w:rFonts w:ascii="Trebuchet MS" w:eastAsia="Trebuchet MS" w:hAnsi="Trebuchet MS" w:cs="Trebuchet MS"/>
          <w:highlight w:val="white"/>
        </w:rPr>
        <w:t>and Invention Portfolio 10</w:t>
      </w:r>
    </w:p>
    <w:p w14:paraId="31AC006F" w14:textId="0195F5C0" w:rsidR="00232460" w:rsidRDefault="00B07A63">
      <w:pPr>
        <w:pStyle w:val="normal0"/>
      </w:pPr>
      <w:r>
        <w:rPr>
          <w:rFonts w:ascii="Trebuchet MS" w:eastAsia="Trebuchet MS" w:hAnsi="Trebuchet MS" w:cs="Trebuchet MS"/>
          <w:highlight w:val="white"/>
        </w:rPr>
        <w:t xml:space="preserve">Project Two: </w:t>
      </w:r>
      <w:r w:rsidRPr="00B07A63">
        <w:rPr>
          <w:rFonts w:ascii="Trebuchet MS" w:eastAsia="Trebuchet MS" w:hAnsi="Trebuchet MS" w:cs="Trebuchet MS"/>
          <w:color w:val="auto"/>
          <w:highlight w:val="white"/>
        </w:rPr>
        <w:t>Controversy Mapping</w:t>
      </w:r>
      <w:r w:rsidR="004A02A9">
        <w:rPr>
          <w:rFonts w:ascii="Trebuchet MS" w:eastAsia="Trebuchet MS" w:hAnsi="Trebuchet MS" w:cs="Trebuchet MS"/>
          <w:highlight w:val="white"/>
        </w:rPr>
        <w:t xml:space="preserve"> and Invention Portfolio 2</w:t>
      </w:r>
      <w:r>
        <w:rPr>
          <w:rFonts w:ascii="Trebuchet MS" w:eastAsia="Trebuchet MS" w:hAnsi="Trebuchet MS" w:cs="Trebuchet MS"/>
          <w:highlight w:val="white"/>
        </w:rPr>
        <w:t>0</w:t>
      </w:r>
    </w:p>
    <w:p w14:paraId="2E99701A" w14:textId="45D889CE" w:rsidR="00232460" w:rsidRDefault="00B07A63">
      <w:pPr>
        <w:pStyle w:val="normal0"/>
        <w:rPr>
          <w:rFonts w:ascii="Trebuchet MS" w:eastAsia="Trebuchet MS" w:hAnsi="Trebuchet MS" w:cs="Trebuchet MS"/>
        </w:rPr>
      </w:pPr>
      <w:r>
        <w:rPr>
          <w:rFonts w:ascii="Trebuchet MS" w:eastAsia="Trebuchet MS" w:hAnsi="Trebuchet MS" w:cs="Trebuchet MS"/>
          <w:highlight w:val="white"/>
        </w:rPr>
        <w:t xml:space="preserve">Project Three: </w:t>
      </w:r>
      <w:r w:rsidR="004A02A9">
        <w:rPr>
          <w:rFonts w:ascii="Trebuchet MS" w:eastAsia="Trebuchet MS" w:hAnsi="Trebuchet MS" w:cs="Trebuchet MS"/>
        </w:rPr>
        <w:t xml:space="preserve">Research </w:t>
      </w:r>
      <w:r w:rsidR="009601AD">
        <w:rPr>
          <w:rFonts w:ascii="Trebuchet MS" w:eastAsia="Trebuchet MS" w:hAnsi="Trebuchet MS" w:cs="Trebuchet MS"/>
        </w:rPr>
        <w:t>Argument</w:t>
      </w:r>
      <w:r w:rsidR="004A02A9">
        <w:rPr>
          <w:rFonts w:ascii="Trebuchet MS" w:eastAsia="Trebuchet MS" w:hAnsi="Trebuchet MS" w:cs="Trebuchet MS"/>
        </w:rPr>
        <w:t xml:space="preserve"> And Invention Portfolio 30</w:t>
      </w:r>
    </w:p>
    <w:p w14:paraId="3C0E874B" w14:textId="736A87F0" w:rsidR="004A02A9" w:rsidRDefault="004A02A9">
      <w:pPr>
        <w:pStyle w:val="normal0"/>
      </w:pPr>
      <w:r>
        <w:rPr>
          <w:rFonts w:ascii="Trebuchet MS" w:eastAsia="Trebuchet MS" w:hAnsi="Trebuchet MS" w:cs="Trebuchet MS"/>
        </w:rPr>
        <w:t xml:space="preserve">Project Four: </w:t>
      </w:r>
      <w:r>
        <w:rPr>
          <w:rFonts w:ascii="Trebuchet MS" w:eastAsia="Trebuchet MS" w:hAnsi="Trebuchet MS" w:cs="Trebuchet MS"/>
          <w:highlight w:val="white"/>
        </w:rPr>
        <w:t>CSW Presentation 20</w:t>
      </w:r>
    </w:p>
    <w:p w14:paraId="4F6E5DC0" w14:textId="77777777" w:rsidR="00232460" w:rsidRDefault="00B07A63">
      <w:pPr>
        <w:pStyle w:val="normal0"/>
      </w:pPr>
      <w:r>
        <w:rPr>
          <w:rFonts w:ascii="Trebuchet MS" w:eastAsia="Trebuchet MS" w:hAnsi="Trebuchet MS" w:cs="Trebuchet MS"/>
          <w:highlight w:val="white"/>
        </w:rPr>
        <w:t>Course portfolio with reflective cover letter 20</w:t>
      </w:r>
    </w:p>
    <w:p w14:paraId="580F7374" w14:textId="6912A733" w:rsidR="00232460" w:rsidRDefault="00B07A63">
      <w:pPr>
        <w:pStyle w:val="normal0"/>
      </w:pPr>
      <w:r>
        <w:rPr>
          <w:rFonts w:ascii="Trebuchet MS" w:eastAsia="Trebuchet MS" w:hAnsi="Trebuchet MS" w:cs="Trebuchet MS"/>
          <w:highlight w:val="white"/>
        </w:rPr>
        <w:br/>
        <w:t xml:space="preserve">Each of the projects will be described fully in separate prompts that I will circulate at an appropriate time in the semester. Grades on projects will adhere to the University’s A-F system. All grades will be posted in the Canvas </w:t>
      </w:r>
      <w:proofErr w:type="spellStart"/>
      <w:r>
        <w:rPr>
          <w:rFonts w:ascii="Trebuchet MS" w:eastAsia="Trebuchet MS" w:hAnsi="Trebuchet MS" w:cs="Trebuchet MS"/>
          <w:highlight w:val="white"/>
        </w:rPr>
        <w:t>gradebook</w:t>
      </w:r>
      <w:proofErr w:type="spellEnd"/>
      <w:r>
        <w:rPr>
          <w:rFonts w:ascii="Trebuchet MS" w:eastAsia="Trebuchet MS" w:hAnsi="Trebuchet MS" w:cs="Trebuchet MS"/>
          <w:highlight w:val="white"/>
        </w:rPr>
        <w:t xml:space="preserve"> associated with this course. You must complete all major projects, the portfolio with reflective cover letter, and present at the Celebration of Student Writing on Thursday, </w:t>
      </w:r>
      <w:r w:rsidR="004A02A9">
        <w:rPr>
          <w:rFonts w:ascii="Trebuchet MS" w:eastAsia="Trebuchet MS" w:hAnsi="Trebuchet MS" w:cs="Trebuchet MS"/>
          <w:highlight w:val="white"/>
        </w:rPr>
        <w:t>April 7</w:t>
      </w:r>
      <w:r>
        <w:rPr>
          <w:rFonts w:ascii="Trebuchet MS" w:eastAsia="Trebuchet MS" w:hAnsi="Trebuchet MS" w:cs="Trebuchet MS"/>
          <w:highlight w:val="white"/>
        </w:rPr>
        <w:t>, from 4-5:30 p.m. to be eligible for a passing grade in WRTG121.</w:t>
      </w:r>
    </w:p>
    <w:p w14:paraId="63CD07C6" w14:textId="77777777" w:rsidR="00232460" w:rsidRDefault="00232460">
      <w:pPr>
        <w:pStyle w:val="normal0"/>
      </w:pPr>
    </w:p>
    <w:p w14:paraId="7750C39C" w14:textId="77777777" w:rsidR="0075102E" w:rsidRDefault="0075102E">
      <w:pPr>
        <w:pStyle w:val="normal0"/>
      </w:pPr>
    </w:p>
    <w:p w14:paraId="4BB02094" w14:textId="77777777" w:rsidR="00232460" w:rsidRDefault="00B07A63">
      <w:pPr>
        <w:pStyle w:val="normal0"/>
      </w:pPr>
      <w:r>
        <w:rPr>
          <w:rFonts w:ascii="Trebuchet MS" w:eastAsia="Trebuchet MS" w:hAnsi="Trebuchet MS" w:cs="Trebuchet MS"/>
          <w:b/>
        </w:rPr>
        <w:t>Turning in Work</w:t>
      </w:r>
    </w:p>
    <w:p w14:paraId="3EDEABF3" w14:textId="77777777" w:rsidR="00232460" w:rsidRDefault="00B07A63">
      <w:pPr>
        <w:pStyle w:val="normal0"/>
        <w:ind w:left="720"/>
      </w:pPr>
      <w:r>
        <w:rPr>
          <w:rFonts w:ascii="Trebuchet MS" w:eastAsia="Trebuchet MS" w:hAnsi="Trebuchet MS" w:cs="Trebuchet MS"/>
          <w:i/>
          <w:highlight w:val="white"/>
        </w:rPr>
        <w:t>Turning in Writing/Keep Everything</w:t>
      </w:r>
    </w:p>
    <w:p w14:paraId="7F776F7A" w14:textId="79A38804" w:rsidR="00232460" w:rsidRDefault="00B07A63">
      <w:pPr>
        <w:pStyle w:val="normal0"/>
        <w:ind w:left="720"/>
      </w:pPr>
      <w:r>
        <w:rPr>
          <w:rFonts w:ascii="Trebuchet MS" w:eastAsia="Trebuchet MS" w:hAnsi="Trebuchet MS" w:cs="Trebuchet MS"/>
          <w:highlight w:val="white"/>
        </w:rPr>
        <w:t xml:space="preserve">Sometimes you will turn in shorter assignments in class. Longer assignments listed above will be turned in via </w:t>
      </w:r>
      <w:r w:rsidR="00572EDF">
        <w:rPr>
          <w:rFonts w:ascii="Trebuchet MS" w:eastAsia="Trebuchet MS" w:hAnsi="Trebuchet MS" w:cs="Trebuchet MS"/>
          <w:highlight w:val="white"/>
        </w:rPr>
        <w:t>Google docs</w:t>
      </w:r>
      <w:r>
        <w:rPr>
          <w:rFonts w:ascii="Trebuchet MS" w:eastAsia="Trebuchet MS" w:hAnsi="Trebuchet MS" w:cs="Trebuchet MS"/>
          <w:highlight w:val="white"/>
        </w:rPr>
        <w:t xml:space="preserve"> before the start of class </w:t>
      </w:r>
      <w:r w:rsidRPr="00B07A63">
        <w:rPr>
          <w:rFonts w:ascii="Trebuchet MS" w:eastAsia="Trebuchet MS" w:hAnsi="Trebuchet MS" w:cs="Trebuchet MS"/>
          <w:color w:val="auto"/>
          <w:highlight w:val="white"/>
        </w:rPr>
        <w:t>(11 a.m.)</w:t>
      </w:r>
      <w:r>
        <w:rPr>
          <w:rFonts w:ascii="Trebuchet MS" w:eastAsia="Trebuchet MS" w:hAnsi="Trebuchet MS" w:cs="Trebuchet MS"/>
          <w:color w:val="38761D"/>
          <w:highlight w:val="white"/>
        </w:rPr>
        <w:t xml:space="preserve"> </w:t>
      </w:r>
      <w:r>
        <w:rPr>
          <w:rFonts w:ascii="Trebuchet MS" w:eastAsia="Trebuchet MS" w:hAnsi="Trebuchet MS" w:cs="Trebuchet MS"/>
          <w:highlight w:val="white"/>
        </w:rPr>
        <w:t xml:space="preserve">on the day the assignment is due. </w:t>
      </w:r>
      <w:r w:rsidR="00572EDF">
        <w:rPr>
          <w:rFonts w:ascii="Trebuchet MS" w:eastAsia="Trebuchet MS" w:hAnsi="Trebuchet MS" w:cs="Trebuchet MS"/>
          <w:highlight w:val="white"/>
        </w:rPr>
        <w:t xml:space="preserve">If we will be engaging in peer review, you must bring a hard copy to class (leaving class to print will result in an unexcused late mark). </w:t>
      </w:r>
      <w:r>
        <w:rPr>
          <w:rFonts w:ascii="Trebuchet MS" w:eastAsia="Trebuchet MS" w:hAnsi="Trebuchet MS" w:cs="Trebuchet MS"/>
          <w:highlight w:val="white"/>
        </w:rPr>
        <w:t>Keep everything you write for the class because you will gather the invention portfolio and drafts of projects three times throughout the term. A simple folder will suffice for the invention portfolio.</w:t>
      </w:r>
      <w:r>
        <w:rPr>
          <w:rFonts w:ascii="Trebuchet MS" w:eastAsia="Trebuchet MS" w:hAnsi="Trebuchet MS" w:cs="Trebuchet MS"/>
          <w:highlight w:val="white"/>
        </w:rPr>
        <w:br/>
      </w:r>
    </w:p>
    <w:p w14:paraId="23FC923C" w14:textId="77777777" w:rsidR="00232460" w:rsidRDefault="00B07A63">
      <w:pPr>
        <w:pStyle w:val="normal0"/>
        <w:ind w:left="720"/>
      </w:pPr>
      <w:r>
        <w:rPr>
          <w:rFonts w:ascii="Trebuchet MS" w:eastAsia="Trebuchet MS" w:hAnsi="Trebuchet MS" w:cs="Trebuchet MS"/>
          <w:i/>
          <w:highlight w:val="white"/>
        </w:rPr>
        <w:t xml:space="preserve">Late Work </w:t>
      </w:r>
    </w:p>
    <w:p w14:paraId="2B82C577" w14:textId="11A5EEC7" w:rsidR="00232460" w:rsidRDefault="00B07A63">
      <w:pPr>
        <w:pStyle w:val="normal0"/>
        <w:ind w:left="720"/>
      </w:pPr>
      <w:r>
        <w:rPr>
          <w:rFonts w:ascii="Trebuchet MS" w:eastAsia="Trebuchet MS" w:hAnsi="Trebuchet MS" w:cs="Trebuchet MS"/>
          <w:highlight w:val="white"/>
        </w:rPr>
        <w:t xml:space="preserve">All work must be submitted before the start of class on the due date to be considered on time and therefore eligible for full credit. This policy applies whether or not you are in class on a given day. In other words, if you miss class, you are still responsible for meeting all related deadlines. Late work will not be accepted for credit. </w:t>
      </w:r>
    </w:p>
    <w:p w14:paraId="52DE2C83" w14:textId="77777777" w:rsidR="00232460" w:rsidRDefault="00232460">
      <w:pPr>
        <w:pStyle w:val="normal0"/>
      </w:pPr>
    </w:p>
    <w:p w14:paraId="287E4420" w14:textId="77777777" w:rsidR="0075102E" w:rsidRDefault="0075102E">
      <w:pPr>
        <w:pStyle w:val="normal0"/>
      </w:pPr>
    </w:p>
    <w:p w14:paraId="1AFD025F" w14:textId="77777777" w:rsidR="0075102E" w:rsidRDefault="0075102E">
      <w:pPr>
        <w:pStyle w:val="normal0"/>
      </w:pPr>
    </w:p>
    <w:p w14:paraId="305E85F7" w14:textId="77777777" w:rsidR="00232460" w:rsidRDefault="00B07A63">
      <w:pPr>
        <w:pStyle w:val="normal0"/>
      </w:pPr>
      <w:r>
        <w:rPr>
          <w:rFonts w:ascii="Trebuchet MS" w:eastAsia="Trebuchet MS" w:hAnsi="Trebuchet MS" w:cs="Trebuchet MS"/>
          <w:b/>
          <w:sz w:val="24"/>
          <w:szCs w:val="24"/>
        </w:rPr>
        <w:lastRenderedPageBreak/>
        <w:t>Course Policies</w:t>
      </w:r>
    </w:p>
    <w:p w14:paraId="35462F8B" w14:textId="77777777" w:rsidR="00232460" w:rsidRDefault="00232460">
      <w:pPr>
        <w:pStyle w:val="normal0"/>
      </w:pPr>
    </w:p>
    <w:p w14:paraId="609AC707" w14:textId="77777777" w:rsidR="00232460" w:rsidRDefault="00B07A63">
      <w:pPr>
        <w:pStyle w:val="normal0"/>
      </w:pPr>
      <w:r>
        <w:rPr>
          <w:rFonts w:ascii="Trebuchet MS" w:eastAsia="Trebuchet MS" w:hAnsi="Trebuchet MS" w:cs="Trebuchet MS"/>
          <w:b/>
          <w:highlight w:val="white"/>
        </w:rPr>
        <w:t>Attendance and Participation</w:t>
      </w:r>
    </w:p>
    <w:p w14:paraId="2CD24816" w14:textId="77777777" w:rsidR="00232460" w:rsidRDefault="00B07A63">
      <w:pPr>
        <w:pStyle w:val="normal0"/>
      </w:pPr>
      <w:r>
        <w:rPr>
          <w:rFonts w:ascii="Trebuchet MS" w:eastAsia="Trebuchet MS" w:hAnsi="Trebuchet MS" w:cs="Trebuchet MS"/>
          <w:highlight w:val="white"/>
        </w:rPr>
        <w:t xml:space="preserve">WRTG121 is a course in language learning, and language is learned in communities, usually by social interactions; therefore, it is essential that you attend class and participate in a manner respectful of differing learning styles and worldviews. Participation, involvement, and engagement with the activities of the class will be factored into your overall grade in association with the writing due that day. Absences and lack of preparation for class will affect your classmates' work as well as your own. The work you do in and in preparation for each class is vital to our daily sessions. In addition, our syllabus and schedule are only a projection and may be subject to occasional changes and </w:t>
      </w:r>
      <w:proofErr w:type="gramStart"/>
      <w:r>
        <w:rPr>
          <w:rFonts w:ascii="Trebuchet MS" w:eastAsia="Trebuchet MS" w:hAnsi="Trebuchet MS" w:cs="Trebuchet MS"/>
          <w:highlight w:val="white"/>
        </w:rPr>
        <w:t>revisions</w:t>
      </w:r>
      <w:proofErr w:type="gramEnd"/>
      <w:r>
        <w:rPr>
          <w:rFonts w:ascii="Trebuchet MS" w:eastAsia="Trebuchet MS" w:hAnsi="Trebuchet MS" w:cs="Trebuchet MS"/>
          <w:highlight w:val="white"/>
        </w:rPr>
        <w:t xml:space="preserve"> as it seems appropriate, necessary, or just interesting.</w:t>
      </w:r>
      <w:r>
        <w:rPr>
          <w:rFonts w:ascii="Trebuchet MS" w:eastAsia="Trebuchet MS" w:hAnsi="Trebuchet MS" w:cs="Trebuchet MS"/>
          <w:highlight w:val="white"/>
        </w:rPr>
        <w:br/>
      </w:r>
    </w:p>
    <w:p w14:paraId="1A244717" w14:textId="77777777" w:rsidR="00232460" w:rsidRDefault="00B07A63">
      <w:pPr>
        <w:pStyle w:val="normal0"/>
      </w:pPr>
      <w:r>
        <w:rPr>
          <w:rFonts w:ascii="Trebuchet MS" w:eastAsia="Trebuchet MS" w:hAnsi="Trebuchet MS" w:cs="Trebuchet MS"/>
          <w:highlight w:val="white"/>
        </w:rPr>
        <w:t xml:space="preserve">Students enrolled in English Department classes are expected to participate in daily interactive activities. They will, for example, routinely discuss reading assignments, write in class on impromptu topics, participate in collaborative activities, or engage in peer review of drafts. Students who miss these activities regularly cannot reasonably make them up. As a result, </w:t>
      </w:r>
      <w:r>
        <w:rPr>
          <w:rFonts w:ascii="Trebuchet MS" w:eastAsia="Trebuchet MS" w:hAnsi="Trebuchet MS" w:cs="Trebuchet MS"/>
          <w:i/>
          <w:highlight w:val="white"/>
        </w:rPr>
        <w:t>students who do not participate regularly should expect to receive lower grades in the course</w:t>
      </w:r>
      <w:r>
        <w:rPr>
          <w:rFonts w:ascii="Trebuchet MS" w:eastAsia="Trebuchet MS" w:hAnsi="Trebuchet MS" w:cs="Trebuchet MS"/>
          <w:highlight w:val="white"/>
        </w:rPr>
        <w:t xml:space="preserve">, and </w:t>
      </w:r>
      <w:r>
        <w:rPr>
          <w:rFonts w:ascii="Trebuchet MS" w:eastAsia="Trebuchet MS" w:hAnsi="Trebuchet MS" w:cs="Trebuchet MS"/>
          <w:i/>
          <w:highlight w:val="white"/>
        </w:rPr>
        <w:t>students who miss more than the equivalent of two weeks of class should consider withdrawing and taking the class in a future semester</w:t>
      </w:r>
      <w:r>
        <w:rPr>
          <w:rFonts w:ascii="Trebuchet MS" w:eastAsia="Trebuchet MS" w:hAnsi="Trebuchet MS" w:cs="Trebuchet MS"/>
          <w:highlight w:val="white"/>
        </w:rPr>
        <w:t>. I do not anticipate any of you will be in that position, however, and I would greatly prefer to see everyone become invested in the coursework, come to class, learn a lot, and make WRTG121 a meaningful experience.</w:t>
      </w:r>
      <w:r>
        <w:rPr>
          <w:rFonts w:ascii="Trebuchet MS" w:eastAsia="Trebuchet MS" w:hAnsi="Trebuchet MS" w:cs="Trebuchet MS"/>
          <w:highlight w:val="white"/>
        </w:rPr>
        <w:br/>
      </w:r>
    </w:p>
    <w:p w14:paraId="7CC801B0" w14:textId="77777777" w:rsidR="00232460" w:rsidRDefault="00B07A63">
      <w:pPr>
        <w:pStyle w:val="normal0"/>
      </w:pPr>
      <w:r>
        <w:rPr>
          <w:rFonts w:ascii="Trebuchet MS" w:eastAsia="Trebuchet MS" w:hAnsi="Trebuchet MS" w:cs="Trebuchet MS"/>
          <w:highlight w:val="white"/>
        </w:rPr>
        <w:t xml:space="preserve">We will meet this term in </w:t>
      </w:r>
      <w:r w:rsidRPr="00B07A63">
        <w:rPr>
          <w:rFonts w:ascii="Trebuchet MS" w:eastAsia="Trebuchet MS" w:hAnsi="Trebuchet MS" w:cs="Trebuchet MS"/>
          <w:b/>
          <w:color w:val="auto"/>
          <w:highlight w:val="white"/>
        </w:rPr>
        <w:t xml:space="preserve">Pray </w:t>
      </w:r>
      <w:proofErr w:type="spellStart"/>
      <w:r w:rsidRPr="00B07A63">
        <w:rPr>
          <w:rFonts w:ascii="Trebuchet MS" w:eastAsia="Trebuchet MS" w:hAnsi="Trebuchet MS" w:cs="Trebuchet MS"/>
          <w:b/>
          <w:color w:val="auto"/>
          <w:highlight w:val="white"/>
        </w:rPr>
        <w:t>Harrold</w:t>
      </w:r>
      <w:proofErr w:type="spellEnd"/>
      <w:r w:rsidRPr="00B07A63">
        <w:rPr>
          <w:rFonts w:ascii="Trebuchet MS" w:eastAsia="Trebuchet MS" w:hAnsi="Trebuchet MS" w:cs="Trebuchet MS"/>
          <w:b/>
          <w:color w:val="auto"/>
          <w:highlight w:val="white"/>
        </w:rPr>
        <w:t xml:space="preserve"> 414</w:t>
      </w:r>
      <w:r w:rsidRPr="00B07A63">
        <w:rPr>
          <w:rFonts w:ascii="Trebuchet MS" w:eastAsia="Trebuchet MS" w:hAnsi="Trebuchet MS" w:cs="Trebuchet MS"/>
          <w:color w:val="auto"/>
          <w:highlight w:val="white"/>
        </w:rPr>
        <w:t>.</w:t>
      </w:r>
      <w:r>
        <w:rPr>
          <w:rFonts w:ascii="Trebuchet MS" w:eastAsia="Trebuchet MS" w:hAnsi="Trebuchet MS" w:cs="Trebuchet MS"/>
          <w:highlight w:val="white"/>
        </w:rPr>
        <w:t xml:space="preserve"> You may at times be tempted to use laptops or mobile devices for checking email or browsing the web. As a rule of thumb, I ask that your in-class uses of mobile devices (e.g., cell phones) and computers be focused on class-related activities. Obviously, you should silence your phones before coming to class. As long as everyone is respectfully attentive when someone is speaking, in-class technology use will not be a problem. In-class attentiveness, engagement, and preparedness (i.e., having read and prepared for each class) are what I mean by "presence."</w:t>
      </w:r>
    </w:p>
    <w:p w14:paraId="1FF5AFF4" w14:textId="77777777" w:rsidR="00232460" w:rsidRDefault="00232460">
      <w:pPr>
        <w:pStyle w:val="normal0"/>
      </w:pPr>
    </w:p>
    <w:p w14:paraId="2F6BF696" w14:textId="77777777" w:rsidR="00232460" w:rsidRDefault="00B07A63">
      <w:pPr>
        <w:pStyle w:val="normal0"/>
      </w:pPr>
      <w:r>
        <w:rPr>
          <w:rFonts w:ascii="Trebuchet MS" w:eastAsia="Trebuchet MS" w:hAnsi="Trebuchet MS" w:cs="Trebuchet MS"/>
          <w:b/>
          <w:highlight w:val="white"/>
        </w:rPr>
        <w:t>Computer and Internet Usage</w:t>
      </w:r>
    </w:p>
    <w:p w14:paraId="5BDFB541" w14:textId="77777777" w:rsidR="00232460" w:rsidRDefault="00B07A63">
      <w:pPr>
        <w:pStyle w:val="normal0"/>
      </w:pPr>
      <w:r>
        <w:rPr>
          <w:rFonts w:ascii="Trebuchet MS" w:eastAsia="Trebuchet MS" w:hAnsi="Trebuchet MS" w:cs="Trebuchet MS"/>
          <w:highlight w:val="white"/>
        </w:rPr>
        <w:t xml:space="preserve">We will be interacting with a variety of sites on the </w:t>
      </w:r>
      <w:proofErr w:type="gramStart"/>
      <w:r>
        <w:rPr>
          <w:rFonts w:ascii="Trebuchet MS" w:eastAsia="Trebuchet MS" w:hAnsi="Trebuchet MS" w:cs="Trebuchet MS"/>
          <w:highlight w:val="white"/>
        </w:rPr>
        <w:t>internet</w:t>
      </w:r>
      <w:proofErr w:type="gramEnd"/>
      <w:r>
        <w:rPr>
          <w:rFonts w:ascii="Trebuchet MS" w:eastAsia="Trebuchet MS" w:hAnsi="Trebuchet MS" w:cs="Trebuchet MS"/>
          <w:highlight w:val="white"/>
        </w:rPr>
        <w:t xml:space="preserve"> during the course. Please let me know if you have not had any experience using a browser such as Firefox, Chrome, or Safari. When using a computer, save your work frequently, always make backup copies, and plan your projects with extra time allowed for unexpected challenges.</w:t>
      </w:r>
    </w:p>
    <w:p w14:paraId="30395382" w14:textId="4E967951" w:rsidR="00232460" w:rsidRDefault="00B07A63">
      <w:pPr>
        <w:pStyle w:val="normal0"/>
      </w:pPr>
      <w:r>
        <w:rPr>
          <w:rFonts w:ascii="Trebuchet MS" w:eastAsia="Trebuchet MS" w:hAnsi="Trebuchet MS" w:cs="Trebuchet MS"/>
          <w:highlight w:val="white"/>
        </w:rPr>
        <w:t xml:space="preserve">Much of the work you do for this class will be typewritten, using Google Docs or some other word processor. When turning in documents like this, please use an easily readable typeface, such as Times New Roman 12. Assign </w:t>
      </w:r>
      <w:r w:rsidR="0075102E">
        <w:rPr>
          <w:rFonts w:ascii="Trebuchet MS" w:eastAsia="Trebuchet MS" w:hAnsi="Trebuchet MS" w:cs="Trebuchet MS"/>
          <w:highlight w:val="white"/>
        </w:rPr>
        <w:t>one-inch</w:t>
      </w:r>
      <w:r>
        <w:rPr>
          <w:rFonts w:ascii="Trebuchet MS" w:eastAsia="Trebuchet MS" w:hAnsi="Trebuchet MS" w:cs="Trebuchet MS"/>
          <w:highlight w:val="white"/>
        </w:rPr>
        <w:t xml:space="preserve"> margins and adhere to the page layout and documentation conventions established by MLA. Whatever the format of the assignment, I strongly urge you to plan ahead, to familiarize yourself with file formats and with the submission process, and to approach me with questions about submissions well in advance of the due dates.</w:t>
      </w:r>
    </w:p>
    <w:p w14:paraId="2245745A" w14:textId="77777777" w:rsidR="00232460" w:rsidRDefault="00232460">
      <w:pPr>
        <w:pStyle w:val="normal0"/>
      </w:pPr>
    </w:p>
    <w:p w14:paraId="5D8D572B" w14:textId="77777777" w:rsidR="00232460" w:rsidRDefault="00B07A63">
      <w:pPr>
        <w:pStyle w:val="normal0"/>
      </w:pPr>
      <w:r>
        <w:rPr>
          <w:rFonts w:ascii="Trebuchet MS" w:eastAsia="Trebuchet MS" w:hAnsi="Trebuchet MS" w:cs="Trebuchet MS"/>
          <w:b/>
          <w:highlight w:val="white"/>
        </w:rPr>
        <w:lastRenderedPageBreak/>
        <w:t>Communication with Peers; Communication with the Instructor</w:t>
      </w:r>
    </w:p>
    <w:p w14:paraId="1255E87C" w14:textId="77777777" w:rsidR="00232460" w:rsidRDefault="00B07A63">
      <w:pPr>
        <w:pStyle w:val="normal0"/>
      </w:pPr>
      <w:r>
        <w:rPr>
          <w:rFonts w:ascii="Trebuchet MS" w:eastAsia="Trebuchet MS" w:hAnsi="Trebuchet MS" w:cs="Trebuchet MS"/>
          <w:highlight w:val="white"/>
        </w:rPr>
        <w:t xml:space="preserve">While you can expect a fair amount of leadership and direction to come from me, you should also make arrangements early in the semester to communicate with your peers. In other words, you are strongly encouraged to identify one or two (perhaps more) peers in the class with whom you can discuss readings and assignments, work through questions brought up in the class, and approach when you find something unclear. In short, my hope is that we all will prefer climate in which dialogue and interaction runs between the instructor and students and </w:t>
      </w:r>
      <w:r>
        <w:rPr>
          <w:rFonts w:ascii="Trebuchet MS" w:eastAsia="Trebuchet MS" w:hAnsi="Trebuchet MS" w:cs="Trebuchet MS"/>
          <w:i/>
          <w:highlight w:val="white"/>
        </w:rPr>
        <w:t>also</w:t>
      </w:r>
      <w:r>
        <w:rPr>
          <w:rFonts w:ascii="Trebuchet MS" w:eastAsia="Trebuchet MS" w:hAnsi="Trebuchet MS" w:cs="Trebuchet MS"/>
          <w:highlight w:val="white"/>
        </w:rPr>
        <w:t xml:space="preserve"> between and among students when questions come up. Finally, you should always be proactive about asking questions when you have them, either by raising questions during class or contacting </w:t>
      </w:r>
      <w:proofErr w:type="gramStart"/>
      <w:r>
        <w:rPr>
          <w:rFonts w:ascii="Trebuchet MS" w:eastAsia="Trebuchet MS" w:hAnsi="Trebuchet MS" w:cs="Trebuchet MS"/>
          <w:highlight w:val="white"/>
        </w:rPr>
        <w:t>me or one of your peers</w:t>
      </w:r>
      <w:proofErr w:type="gramEnd"/>
      <w:r>
        <w:rPr>
          <w:rFonts w:ascii="Trebuchet MS" w:eastAsia="Trebuchet MS" w:hAnsi="Trebuchet MS" w:cs="Trebuchet MS"/>
          <w:highlight w:val="white"/>
        </w:rPr>
        <w:t xml:space="preserve"> privately.</w:t>
      </w:r>
    </w:p>
    <w:p w14:paraId="04C4AB0D" w14:textId="77777777" w:rsidR="00232460" w:rsidRDefault="00232460">
      <w:pPr>
        <w:pStyle w:val="normal0"/>
      </w:pPr>
    </w:p>
    <w:p w14:paraId="07E2C893" w14:textId="77777777" w:rsidR="00232460" w:rsidRDefault="00B07A63">
      <w:pPr>
        <w:pStyle w:val="normal0"/>
      </w:pPr>
      <w:r>
        <w:rPr>
          <w:rFonts w:ascii="Trebuchet MS" w:eastAsia="Trebuchet MS" w:hAnsi="Trebuchet MS" w:cs="Trebuchet MS"/>
          <w:b/>
          <w:highlight w:val="white"/>
        </w:rPr>
        <w:t>Email</w:t>
      </w:r>
    </w:p>
    <w:p w14:paraId="22356162" w14:textId="77777777" w:rsidR="00232460" w:rsidRDefault="00B07A63">
      <w:pPr>
        <w:pStyle w:val="normal0"/>
      </w:pPr>
      <w:r>
        <w:rPr>
          <w:rFonts w:ascii="Trebuchet MS" w:eastAsia="Trebuchet MS" w:hAnsi="Trebuchet MS" w:cs="Trebuchet MS"/>
          <w:highlight w:val="white"/>
        </w:rPr>
        <w:t>To communicate by email we will use our emich.edu accounts, accessible via mail.emich.edu. You can send email to me or to classmates via the Canvas site associated with this course. You can also set up an appointment to meet with me on campus, or to ask a question. With rare exceptions, I will respond to all email inquiries within 48 hours.</w:t>
      </w:r>
    </w:p>
    <w:p w14:paraId="74E5A5FE" w14:textId="77777777" w:rsidR="00232460" w:rsidRDefault="00232460">
      <w:pPr>
        <w:pStyle w:val="normal0"/>
      </w:pPr>
    </w:p>
    <w:p w14:paraId="291E06B9" w14:textId="77777777" w:rsidR="00232460" w:rsidRDefault="00B07A63">
      <w:pPr>
        <w:pStyle w:val="normal0"/>
      </w:pPr>
      <w:r>
        <w:rPr>
          <w:rFonts w:ascii="Trebuchet MS" w:eastAsia="Trebuchet MS" w:hAnsi="Trebuchet MS" w:cs="Trebuchet MS"/>
          <w:b/>
          <w:highlight w:val="white"/>
        </w:rPr>
        <w:t>Academic Integrity</w:t>
      </w:r>
    </w:p>
    <w:p w14:paraId="7FF4AE03" w14:textId="77777777" w:rsidR="00232460" w:rsidRDefault="00B07A63">
      <w:pPr>
        <w:pStyle w:val="normal0"/>
      </w:pPr>
      <w:r>
        <w:rPr>
          <w:rFonts w:ascii="Trebuchet MS" w:eastAsia="Trebuchet MS" w:hAnsi="Trebuchet MS" w:cs="Trebuchet MS"/>
          <w:highlight w:val="white"/>
        </w:rPr>
        <w:t>Plagiarism occurs when a writer passes off another's words or ideas without acknowledging their source, whether intentionally or not. For example, turning another's work as your own is plagiarism. If you plagiarize in this class, you will likely fail the assignment on which you are working and your case may be passed to the university for additional disciplinary action. Because of the design and nature of this course, it will take as much (or more) work for you to plagiarize in it than it will to actually complete the work of the class. For a more detailed explanation of Eastern Michigan University's stance on academic integrity, refer to Section V.A. of the Student Conduct Code.</w:t>
      </w:r>
    </w:p>
    <w:p w14:paraId="68C49BE1" w14:textId="77777777" w:rsidR="00232460" w:rsidRDefault="00232460">
      <w:pPr>
        <w:pStyle w:val="normal0"/>
      </w:pPr>
    </w:p>
    <w:p w14:paraId="599CEB11" w14:textId="77777777" w:rsidR="00232460" w:rsidRDefault="00B07A63">
      <w:pPr>
        <w:pStyle w:val="normal0"/>
      </w:pPr>
      <w:r>
        <w:rPr>
          <w:rFonts w:ascii="Trebuchet MS" w:eastAsia="Trebuchet MS" w:hAnsi="Trebuchet MS" w:cs="Trebuchet MS"/>
          <w:b/>
          <w:highlight w:val="white"/>
        </w:rPr>
        <w:t>Disability Resource Center (DRC)</w:t>
      </w:r>
    </w:p>
    <w:p w14:paraId="73F2CD54" w14:textId="77777777" w:rsidR="00232460" w:rsidRDefault="00B07A63">
      <w:pPr>
        <w:pStyle w:val="normal0"/>
      </w:pPr>
      <w:r>
        <w:rPr>
          <w:rFonts w:ascii="Trebuchet MS" w:eastAsia="Trebuchet MS" w:hAnsi="Trebuchet MS" w:cs="Trebuchet MS"/>
          <w:highlight w:val="white"/>
        </w:rPr>
        <w:t>If you have a documented disability that affects your work in this (or any other) class, the Disability Resource Center can provide support for you. It is my goal that this class be an accessible and welcoming experience for all students, including those with disabilities that may impact their learning in this class. If anyone believes they may have trouble participating or effectively demonstrating learning in this course, please meet with me (with or without a Disability Resource Center (DRC) accommodation letter) to discuss reasonable options or adjustments. During our conversation, I may suggest the possibility/necessity of your contacting the DRC (240 Student Center; 734-487-2470; swd_office@emich.edu) to talk about academic accommodations. You are welcome to talk to me at any point in the semester about such issues, but it is always best if we can talk at least one week prior to the need for any modifications.</w:t>
      </w:r>
    </w:p>
    <w:p w14:paraId="44BC0DC5" w14:textId="77777777" w:rsidR="00232460" w:rsidRDefault="00232460">
      <w:pPr>
        <w:pStyle w:val="normal0"/>
      </w:pPr>
    </w:p>
    <w:p w14:paraId="7DB8EC1E" w14:textId="77777777" w:rsidR="0075102E" w:rsidRDefault="0075102E">
      <w:pPr>
        <w:pStyle w:val="normal0"/>
      </w:pPr>
    </w:p>
    <w:p w14:paraId="3A4736FB" w14:textId="77777777" w:rsidR="0075102E" w:rsidRDefault="0075102E">
      <w:pPr>
        <w:pStyle w:val="normal0"/>
      </w:pPr>
    </w:p>
    <w:p w14:paraId="59150D3B" w14:textId="77777777" w:rsidR="0075102E" w:rsidRDefault="0075102E">
      <w:pPr>
        <w:pStyle w:val="normal0"/>
      </w:pPr>
    </w:p>
    <w:p w14:paraId="17A9664E" w14:textId="77777777" w:rsidR="0075102E" w:rsidRDefault="0075102E">
      <w:pPr>
        <w:pStyle w:val="normal0"/>
      </w:pPr>
    </w:p>
    <w:p w14:paraId="474F8ED0" w14:textId="77777777" w:rsidR="00232460" w:rsidRDefault="00232460">
      <w:pPr>
        <w:pStyle w:val="normal0"/>
      </w:pPr>
      <w:bookmarkStart w:id="0" w:name="_GoBack"/>
      <w:bookmarkEnd w:id="0"/>
    </w:p>
    <w:p w14:paraId="284F9F20" w14:textId="57DFE515" w:rsidR="00572EDF" w:rsidRPr="00572EDF" w:rsidRDefault="00B07A63" w:rsidP="00572EDF">
      <w:pPr>
        <w:pStyle w:val="normal0"/>
      </w:pPr>
      <w:r>
        <w:rPr>
          <w:rFonts w:ascii="Trebuchet MS" w:eastAsia="Trebuchet MS" w:hAnsi="Trebuchet MS" w:cs="Trebuchet MS"/>
          <w:b/>
        </w:rPr>
        <w:t>University Writing Center</w:t>
      </w:r>
    </w:p>
    <w:p w14:paraId="11985955" w14:textId="77777777" w:rsidR="00572EDF" w:rsidRPr="00572EDF" w:rsidRDefault="00572EDF" w:rsidP="00572EDF">
      <w:pPr>
        <w:pStyle w:val="normal0"/>
        <w:spacing w:line="240" w:lineRule="auto"/>
        <w:rPr>
          <w:rFonts w:ascii="Trebuchet MS" w:hAnsi="Trebuchet MS"/>
        </w:rPr>
      </w:pPr>
      <w:r w:rsidRPr="00572EDF">
        <w:rPr>
          <w:rFonts w:ascii="Trebuchet MS" w:hAnsi="Trebuchet MS"/>
        </w:rPr>
        <w:t xml:space="preserve">115 Halle </w:t>
      </w:r>
      <w:proofErr w:type="gramStart"/>
      <w:r w:rsidRPr="00572EDF">
        <w:rPr>
          <w:rFonts w:ascii="Trebuchet MS" w:hAnsi="Trebuchet MS"/>
        </w:rPr>
        <w:t>Library</w:t>
      </w:r>
      <w:proofErr w:type="gramEnd"/>
    </w:p>
    <w:p w14:paraId="6BD7DF64" w14:textId="77777777" w:rsidR="00572EDF" w:rsidRPr="00572EDF" w:rsidRDefault="00572EDF" w:rsidP="00572EDF">
      <w:pPr>
        <w:pStyle w:val="normal0"/>
        <w:spacing w:line="240" w:lineRule="auto"/>
        <w:rPr>
          <w:rFonts w:ascii="Trebuchet MS" w:hAnsi="Trebuchet MS"/>
        </w:rPr>
      </w:pPr>
      <w:r w:rsidRPr="00572EDF">
        <w:rPr>
          <w:rFonts w:ascii="Trebuchet MS" w:hAnsi="Trebuchet MS"/>
        </w:rPr>
        <w:t>734-487-0694</w:t>
      </w:r>
    </w:p>
    <w:p w14:paraId="073F8877" w14:textId="77777777" w:rsidR="00572EDF" w:rsidRPr="00572EDF" w:rsidRDefault="00572EDF" w:rsidP="00572EDF">
      <w:pPr>
        <w:pStyle w:val="normal0"/>
        <w:spacing w:line="240" w:lineRule="auto"/>
        <w:rPr>
          <w:rFonts w:ascii="Trebuchet MS" w:hAnsi="Trebuchet MS"/>
        </w:rPr>
      </w:pPr>
      <w:r w:rsidRPr="00572EDF">
        <w:rPr>
          <w:rFonts w:ascii="Trebuchet MS" w:hAnsi="Trebuchet MS"/>
        </w:rPr>
        <w:t>http://www.emich.edu/uwc</w:t>
      </w:r>
    </w:p>
    <w:p w14:paraId="6A67A61B" w14:textId="77777777" w:rsidR="00572EDF" w:rsidRPr="00572EDF" w:rsidRDefault="00572EDF" w:rsidP="00572EDF">
      <w:pPr>
        <w:pStyle w:val="normal0"/>
        <w:spacing w:line="240" w:lineRule="auto"/>
        <w:rPr>
          <w:rFonts w:ascii="Trebuchet MS" w:hAnsi="Trebuchet MS"/>
        </w:rPr>
      </w:pPr>
    </w:p>
    <w:p w14:paraId="6A277C6A" w14:textId="41A0FB92" w:rsidR="00572EDF" w:rsidRPr="00572EDF" w:rsidRDefault="00572EDF" w:rsidP="00572EDF">
      <w:pPr>
        <w:pStyle w:val="normal0"/>
        <w:spacing w:line="240" w:lineRule="auto"/>
        <w:rPr>
          <w:rFonts w:ascii="Trebuchet MS" w:hAnsi="Trebuchet MS"/>
        </w:rPr>
      </w:pPr>
      <w:r w:rsidRPr="00572EDF">
        <w:rPr>
          <w:rFonts w:ascii="Trebuchet MS" w:hAnsi="Trebuchet MS"/>
        </w:rPr>
        <w:t>The University Writing Center (115 Halle Library; 487-0694) offers one-to-one writing consulting for both undergraduate and graduate students. Students can make appointments or drop in between the hours of 10 a.m. and 6 p.m. Mondays through Thursdays and from 11 a.m. to 4 p.m. on Fridays. The UWC opens for the Winter 2016 semester on Monday, January 11 and will close on Tuesday, April 19. Students are encouraged to come to the UWC at any stage of the writing process.</w:t>
      </w:r>
    </w:p>
    <w:p w14:paraId="07DCD5FD" w14:textId="77777777" w:rsidR="00572EDF" w:rsidRPr="00572EDF" w:rsidRDefault="00572EDF" w:rsidP="00572EDF">
      <w:pPr>
        <w:pStyle w:val="normal0"/>
        <w:spacing w:line="240" w:lineRule="auto"/>
        <w:rPr>
          <w:rFonts w:ascii="Trebuchet MS" w:hAnsi="Trebuchet MS"/>
        </w:rPr>
      </w:pPr>
    </w:p>
    <w:p w14:paraId="06145C60" w14:textId="50B9EE5F" w:rsidR="00572EDF" w:rsidRPr="00572EDF" w:rsidRDefault="00572EDF" w:rsidP="00572EDF">
      <w:pPr>
        <w:pStyle w:val="normal0"/>
        <w:spacing w:line="240" w:lineRule="auto"/>
        <w:rPr>
          <w:rFonts w:ascii="Trebuchet MS" w:hAnsi="Trebuchet MS"/>
        </w:rPr>
      </w:pPr>
      <w:r w:rsidRPr="00572EDF">
        <w:rPr>
          <w:rFonts w:ascii="Trebuchet MS" w:hAnsi="Trebuchet MS"/>
        </w:rPr>
        <w:t>The UWC also has several satellite locations across campus (in Owen, Marshall, Pray-</w:t>
      </w:r>
      <w:proofErr w:type="spellStart"/>
      <w:r w:rsidRPr="00572EDF">
        <w:rPr>
          <w:rFonts w:ascii="Trebuchet MS" w:hAnsi="Trebuchet MS"/>
        </w:rPr>
        <w:t>Harrold</w:t>
      </w:r>
      <w:proofErr w:type="spellEnd"/>
      <w:r w:rsidRPr="00572EDF">
        <w:rPr>
          <w:rFonts w:ascii="Trebuchet MS" w:hAnsi="Trebuchet MS"/>
        </w:rPr>
        <w:t>, and Mark Jefferson). These satellites provide drop-in writing support to students in various colleges and programs. Satellite locations and hours can be found on the UWC web site: http://www.emich.edu/uwc.</w:t>
      </w:r>
    </w:p>
    <w:p w14:paraId="5628850C" w14:textId="77777777" w:rsidR="00572EDF" w:rsidRPr="00572EDF" w:rsidRDefault="00572EDF" w:rsidP="00572EDF">
      <w:pPr>
        <w:pStyle w:val="normal0"/>
        <w:spacing w:line="240" w:lineRule="auto"/>
        <w:rPr>
          <w:rFonts w:ascii="Trebuchet MS" w:hAnsi="Trebuchet MS"/>
        </w:rPr>
      </w:pPr>
    </w:p>
    <w:p w14:paraId="2E4FAE27" w14:textId="5DA3AEBF" w:rsidR="00232460" w:rsidRPr="00572EDF" w:rsidRDefault="00572EDF" w:rsidP="00572EDF">
      <w:pPr>
        <w:pStyle w:val="normal0"/>
        <w:spacing w:line="240" w:lineRule="auto"/>
        <w:rPr>
          <w:rFonts w:ascii="Trebuchet MS" w:hAnsi="Trebuchet MS"/>
        </w:rPr>
      </w:pPr>
      <w:r w:rsidRPr="00572EDF">
        <w:rPr>
          <w:rFonts w:ascii="Trebuchet MS" w:hAnsi="Trebuchet MS"/>
        </w:rPr>
        <w:t>UWC writing consultants also work in the Academic Projects Center (116 Halle Library), which offers drop-in consulting for students on writing, research, and technology-related issues. The APC is open 11 a.m. to 5 p.m. Mondays through Thursdays. Additional information about the APC can be found at Students seeking writing support at any location of the University Writing Center should bring a draft of their writing (along with any relevant instructions or rubrics) to work on during the consultation.</w:t>
      </w:r>
    </w:p>
    <w:sectPr w:rsidR="00232460" w:rsidRPr="00572EDF">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6042C" w14:textId="77777777" w:rsidR="00C5376F" w:rsidRDefault="00C5376F">
      <w:pPr>
        <w:spacing w:line="240" w:lineRule="auto"/>
      </w:pPr>
      <w:r>
        <w:separator/>
      </w:r>
    </w:p>
  </w:endnote>
  <w:endnote w:type="continuationSeparator" w:id="0">
    <w:p w14:paraId="190870B3" w14:textId="77777777" w:rsidR="00C5376F" w:rsidRDefault="00C53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23ED" w14:textId="77777777" w:rsidR="00C5376F" w:rsidRDefault="00C5376F">
    <w:pPr>
      <w:pStyle w:val="normal0"/>
      <w:jc w:val="right"/>
    </w:pPr>
    <w:r>
      <w:fldChar w:fldCharType="begin"/>
    </w:r>
    <w:r>
      <w:instrText>PAGE</w:instrText>
    </w:r>
    <w:r>
      <w:fldChar w:fldCharType="separate"/>
    </w:r>
    <w:r w:rsidR="0075102E">
      <w:rPr>
        <w:noProof/>
      </w:rPr>
      <w:t>1</w:t>
    </w:r>
    <w:r>
      <w:fldChar w:fldCharType="end"/>
    </w:r>
    <w:r>
      <w:t xml:space="preserve"> of </w:t>
    </w:r>
    <w:r>
      <w:fldChar w:fldCharType="begin"/>
    </w:r>
    <w:r>
      <w:instrText>NUMPAGES</w:instrText>
    </w:r>
    <w:r>
      <w:fldChar w:fldCharType="separate"/>
    </w:r>
    <w:r w:rsidR="0075102E">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627A0" w14:textId="77777777" w:rsidR="00C5376F" w:rsidRDefault="00C5376F">
      <w:pPr>
        <w:spacing w:line="240" w:lineRule="auto"/>
      </w:pPr>
      <w:r>
        <w:separator/>
      </w:r>
    </w:p>
  </w:footnote>
  <w:footnote w:type="continuationSeparator" w:id="0">
    <w:p w14:paraId="18B1DF2C" w14:textId="77777777" w:rsidR="00C5376F" w:rsidRDefault="00C5376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5CF6" w14:textId="77777777" w:rsidR="00C5376F" w:rsidRDefault="00C5376F">
    <w:pPr>
      <w:pStyle w:val="normal0"/>
      <w:jc w:val="right"/>
    </w:pPr>
    <w:r>
      <w:rPr>
        <w:rFonts w:ascii="Trebuchet MS" w:eastAsia="Trebuchet MS" w:hAnsi="Trebuchet MS" w:cs="Trebuchet MS"/>
      </w:rPr>
      <w:t>WRTG121 Course Syllabus</w:t>
    </w:r>
  </w:p>
  <w:p w14:paraId="6A3E27B3" w14:textId="77777777" w:rsidR="00C5376F" w:rsidRDefault="00C5376F">
    <w:pPr>
      <w:pStyle w:val="normal0"/>
      <w:jc w:val="right"/>
    </w:pPr>
    <w:r>
      <w:rPr>
        <w:rFonts w:ascii="Trebuchet MS" w:eastAsia="Trebuchet MS" w:hAnsi="Trebuchet MS" w:cs="Trebuchet MS"/>
      </w:rPr>
      <w:t>Term: Fall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30EB4"/>
    <w:multiLevelType w:val="multilevel"/>
    <w:tmpl w:val="71B6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2460"/>
    <w:rsid w:val="001654F9"/>
    <w:rsid w:val="00232460"/>
    <w:rsid w:val="004A02A9"/>
    <w:rsid w:val="005201A4"/>
    <w:rsid w:val="0052277B"/>
    <w:rsid w:val="00572EDF"/>
    <w:rsid w:val="006204AE"/>
    <w:rsid w:val="0075102E"/>
    <w:rsid w:val="00844DC6"/>
    <w:rsid w:val="00875959"/>
    <w:rsid w:val="009601AD"/>
    <w:rsid w:val="00A24F24"/>
    <w:rsid w:val="00B07A63"/>
    <w:rsid w:val="00BF17EB"/>
    <w:rsid w:val="00C5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1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A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A63"/>
    <w:rPr>
      <w:rFonts w:ascii="Lucida Grande" w:hAnsi="Lucida Grande" w:cs="Lucida Grande"/>
      <w:sz w:val="18"/>
      <w:szCs w:val="18"/>
    </w:rPr>
  </w:style>
  <w:style w:type="paragraph" w:styleId="NormalWeb">
    <w:name w:val="Normal (Web)"/>
    <w:basedOn w:val="Normal"/>
    <w:uiPriority w:val="99"/>
    <w:semiHidden/>
    <w:unhideWhenUsed/>
    <w:rsid w:val="006204AE"/>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A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A63"/>
    <w:rPr>
      <w:rFonts w:ascii="Lucida Grande" w:hAnsi="Lucida Grande" w:cs="Lucida Grande"/>
      <w:sz w:val="18"/>
      <w:szCs w:val="18"/>
    </w:rPr>
  </w:style>
  <w:style w:type="paragraph" w:styleId="NormalWeb">
    <w:name w:val="Normal (Web)"/>
    <w:basedOn w:val="Normal"/>
    <w:uiPriority w:val="99"/>
    <w:semiHidden/>
    <w:unhideWhenUsed/>
    <w:rsid w:val="006204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9450">
      <w:bodyDiv w:val="1"/>
      <w:marLeft w:val="0"/>
      <w:marRight w:val="0"/>
      <w:marTop w:val="0"/>
      <w:marBottom w:val="0"/>
      <w:divBdr>
        <w:top w:val="none" w:sz="0" w:space="0" w:color="auto"/>
        <w:left w:val="none" w:sz="0" w:space="0" w:color="auto"/>
        <w:bottom w:val="none" w:sz="0" w:space="0" w:color="auto"/>
        <w:right w:val="none" w:sz="0" w:space="0" w:color="auto"/>
      </w:divBdr>
    </w:div>
    <w:div w:id="617957138">
      <w:bodyDiv w:val="1"/>
      <w:marLeft w:val="0"/>
      <w:marRight w:val="0"/>
      <w:marTop w:val="0"/>
      <w:marBottom w:val="0"/>
      <w:divBdr>
        <w:top w:val="none" w:sz="0" w:space="0" w:color="auto"/>
        <w:left w:val="none" w:sz="0" w:space="0" w:color="auto"/>
        <w:bottom w:val="none" w:sz="0" w:space="0" w:color="auto"/>
        <w:right w:val="none" w:sz="0" w:space="0" w:color="auto"/>
      </w:divBdr>
    </w:div>
    <w:div w:id="1152865439">
      <w:bodyDiv w:val="1"/>
      <w:marLeft w:val="0"/>
      <w:marRight w:val="0"/>
      <w:marTop w:val="0"/>
      <w:marBottom w:val="0"/>
      <w:divBdr>
        <w:top w:val="none" w:sz="0" w:space="0" w:color="auto"/>
        <w:left w:val="none" w:sz="0" w:space="0" w:color="auto"/>
        <w:bottom w:val="none" w:sz="0" w:space="0" w:color="auto"/>
        <w:right w:val="none" w:sz="0" w:space="0" w:color="auto"/>
      </w:divBdr>
    </w:div>
    <w:div w:id="1544633611">
      <w:bodyDiv w:val="1"/>
      <w:marLeft w:val="0"/>
      <w:marRight w:val="0"/>
      <w:marTop w:val="0"/>
      <w:marBottom w:val="0"/>
      <w:divBdr>
        <w:top w:val="none" w:sz="0" w:space="0" w:color="auto"/>
        <w:left w:val="none" w:sz="0" w:space="0" w:color="auto"/>
        <w:bottom w:val="none" w:sz="0" w:space="0" w:color="auto"/>
        <w:right w:val="none" w:sz="0" w:space="0" w:color="auto"/>
      </w:divBdr>
    </w:div>
    <w:div w:id="19488032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product.half.ebay.com/The-Everyday-Writer-2009-by-Andrea-A-Lunsford-2009-Paperback/72960013&amp;tg=info"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2286</Words>
  <Characters>13032</Characters>
  <Application>Microsoft Macintosh Word</Application>
  <DocSecurity>0</DocSecurity>
  <Lines>108</Lines>
  <Paragraphs>30</Paragraphs>
  <ScaleCrop>false</ScaleCrop>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Brianne Radke</cp:lastModifiedBy>
  <cp:revision>8</cp:revision>
  <dcterms:created xsi:type="dcterms:W3CDTF">2015-12-08T00:42:00Z</dcterms:created>
  <dcterms:modified xsi:type="dcterms:W3CDTF">2015-12-30T03:00:00Z</dcterms:modified>
</cp:coreProperties>
</file>